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54E3" w14:textId="7BA5B50E" w:rsidR="0098189C" w:rsidRPr="00677A8D" w:rsidRDefault="005D55FF" w:rsidP="00156595">
      <w:pPr>
        <w:keepNext/>
        <w:pBdr>
          <w:top w:val="nil"/>
          <w:left w:val="nil"/>
          <w:bottom w:val="nil"/>
          <w:right w:val="nil"/>
          <w:between w:val="nil"/>
        </w:pBdr>
        <w:spacing w:before="360" w:after="240"/>
        <w:ind w:left="964" w:hanging="964"/>
        <w:jc w:val="center"/>
        <w:rPr>
          <w:b/>
          <w:smallCaps/>
          <w:color w:val="000000"/>
          <w:sz w:val="28"/>
          <w:szCs w:val="28"/>
          <w:lang w:val="lt-LT"/>
        </w:rPr>
      </w:pPr>
      <w:r w:rsidRPr="00677A8D">
        <w:rPr>
          <w:b/>
          <w:smallCaps/>
          <w:color w:val="000000"/>
          <w:sz w:val="28"/>
          <w:szCs w:val="28"/>
          <w:lang w:val="lt-LT"/>
        </w:rPr>
        <w:t>Investavimo strategija</w:t>
      </w:r>
    </w:p>
    <w:p w14:paraId="51137616"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BENDROSIOS NUOSTATOS</w:t>
      </w:r>
    </w:p>
    <w:p w14:paraId="72A610DE" w14:textId="77777777" w:rsidR="00A66D6C" w:rsidRPr="00677A8D" w:rsidRDefault="00A66D6C" w:rsidP="00A66D6C">
      <w:pPr>
        <w:pBdr>
          <w:top w:val="nil"/>
          <w:left w:val="nil"/>
          <w:bottom w:val="nil"/>
          <w:right w:val="nil"/>
          <w:between w:val="nil"/>
        </w:pBdr>
        <w:tabs>
          <w:tab w:val="left" w:pos="851"/>
        </w:tabs>
        <w:ind w:left="851"/>
        <w:jc w:val="both"/>
        <w:rPr>
          <w:rFonts w:eastAsia="Arial"/>
          <w:b/>
          <w:smallCaps/>
          <w:color w:val="000000"/>
        </w:rPr>
      </w:pPr>
    </w:p>
    <w:p w14:paraId="67E1FD8C"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t xml:space="preserve">KŪB „Pagalbos verslui fondas“ (toliau – </w:t>
      </w:r>
      <w:r w:rsidRPr="00677A8D">
        <w:rPr>
          <w:b/>
        </w:rPr>
        <w:t>Fondas</w:t>
      </w:r>
      <w:r w:rsidRPr="00677A8D">
        <w:t xml:space="preserve">) valdysena turi atitikti gerąją valdymo praktiką, siekiant, kad būtų įgyvendinti teisėti investuotojų į Fondą (toliau – </w:t>
      </w:r>
      <w:r w:rsidRPr="00677A8D">
        <w:rPr>
          <w:b/>
        </w:rPr>
        <w:t>Fondo dalyviai</w:t>
      </w:r>
      <w:r w:rsidRPr="00677A8D">
        <w:t>) lūkesčiai bei interesai ir būtų užtikrinta skaidri ir nepriklausoma veikla.</w:t>
      </w:r>
    </w:p>
    <w:p w14:paraId="63C8C916"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28D73A0B"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Fondo valdymo struktūra turi užtikrinti tinkamą Fondo dalyvių interesų atstovavimą, veiklos atskyrimą nuo politinių sprendimų įtakos taip, kad būtų užtikrinta nepriklausoma ir tvari Fondo veikla ilguoju laikotarpiu bei nepriklausomas jo valdymo ir investicinius sprendimus priimančių organų sprendimų priėmimas.</w:t>
      </w:r>
    </w:p>
    <w:p w14:paraId="63DA84CC" w14:textId="77777777" w:rsidR="00A66D6C" w:rsidRPr="00677A8D" w:rsidRDefault="00A66D6C" w:rsidP="00A66D6C">
      <w:pPr>
        <w:pBdr>
          <w:top w:val="nil"/>
          <w:left w:val="nil"/>
          <w:bottom w:val="nil"/>
          <w:right w:val="nil"/>
          <w:between w:val="nil"/>
        </w:pBdr>
        <w:ind w:left="720" w:hanging="360"/>
        <w:rPr>
          <w:rFonts w:eastAsia="Arial"/>
          <w:color w:val="000000"/>
        </w:rPr>
      </w:pPr>
    </w:p>
    <w:p w14:paraId="512566EA"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Fondas steigiamas atsižvelgiant į </w:t>
      </w:r>
      <w:r w:rsidRPr="00677A8D">
        <w:t xml:space="preserve">Europos Komisijos komunikate Nr. 2020/C 91 I/01 „Laikinoji valstybės pagalbos priemonių, skirtų ekonomikai remti reaguojant į dabartinį COVID-19 protrūkį, sistema“ su paskutiniais pakeitimais, padarytais 2020 m. birželio 29 d. Europos Komisijos komunikatu Nr. 2020/C 218/03 </w:t>
      </w:r>
      <w:r w:rsidRPr="00677A8D">
        <w:rPr>
          <w:color w:val="000000"/>
        </w:rPr>
        <w:t>(</w:t>
      </w:r>
      <w:r w:rsidRPr="00677A8D">
        <w:rPr>
          <w:b/>
          <w:color w:val="000000"/>
        </w:rPr>
        <w:t>Komunikatas</w:t>
      </w:r>
      <w:r w:rsidRPr="00677A8D">
        <w:rPr>
          <w:color w:val="000000"/>
        </w:rPr>
        <w:t>) nustatytas sąlygas, bei Europos Komisijos 2020 gegužės 26 d. sprendimą Nr. C(2020) 3534, kuriuo patvirtinti reikalavimai valstybės pagalbai per Fondą (</w:t>
      </w:r>
      <w:r w:rsidRPr="00677A8D">
        <w:rPr>
          <w:b/>
          <w:color w:val="000000"/>
        </w:rPr>
        <w:t>Sprendimas</w:t>
      </w:r>
      <w:r w:rsidRPr="00677A8D">
        <w:rPr>
          <w:color w:val="000000"/>
        </w:rPr>
        <w:t>).</w:t>
      </w:r>
    </w:p>
    <w:p w14:paraId="22EA12ED" w14:textId="77777777" w:rsidR="00A66D6C" w:rsidRPr="00677A8D" w:rsidRDefault="00A66D6C" w:rsidP="00A66D6C">
      <w:pPr>
        <w:pBdr>
          <w:top w:val="nil"/>
          <w:left w:val="nil"/>
          <w:bottom w:val="nil"/>
          <w:right w:val="nil"/>
          <w:between w:val="nil"/>
        </w:pBdr>
        <w:tabs>
          <w:tab w:val="left" w:pos="851"/>
        </w:tabs>
        <w:jc w:val="both"/>
        <w:rPr>
          <w:rFonts w:eastAsia="Arial"/>
          <w:color w:val="000000"/>
        </w:rPr>
      </w:pPr>
    </w:p>
    <w:p w14:paraId="08E4C181"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themeColor="text1"/>
        </w:rPr>
        <w:t>Fondas turi teisę steigti subfondus, kuriuose investicijos būtų suskirstomos pagal naudojamas priemones, rizikos lygius ar kitus kriterijus.</w:t>
      </w:r>
    </w:p>
    <w:p w14:paraId="4AE01634" w14:textId="77777777" w:rsidR="00A66D6C" w:rsidRPr="00677A8D" w:rsidRDefault="00A66D6C" w:rsidP="00A66D6C">
      <w:pPr>
        <w:pBdr>
          <w:top w:val="nil"/>
          <w:left w:val="nil"/>
          <w:bottom w:val="nil"/>
          <w:right w:val="nil"/>
          <w:between w:val="nil"/>
        </w:pBdr>
        <w:ind w:left="720" w:hanging="360"/>
        <w:rPr>
          <w:rFonts w:eastAsia="Arial"/>
          <w:color w:val="000000"/>
        </w:rPr>
      </w:pPr>
    </w:p>
    <w:p w14:paraId="11C0A667"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themeColor="text1"/>
        </w:rPr>
        <w:t>Fondo turto investavimo strategija gali būti keičiama Fondo dalyvių sutartyje nustatyta tvarka ir atsižvelgus į valstybės ekonominę situaciją. Jei keičiasi teisės aktai, Sprendimo nuostatos, kol investavimo strategija nėra pakeista, vadovaujamasi naujomis teisės aktų bei Sprendimo nuostatomis. Komunikato nuostatų pasikeitimas reikalaus tolesnės valstybės pagalbos, teikiamos per Fondą, suderinimo su Europos Komisija, kad Fondo veikla atspindėtų pasikeitusias Komunikato nuostatas.</w:t>
      </w:r>
    </w:p>
    <w:p w14:paraId="26BC8B45"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2A37A558"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Fondo investavimo strategija skelbiama viešai.</w:t>
      </w:r>
    </w:p>
    <w:p w14:paraId="33CEDB30"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21BB9F73"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Fondas kas ketvirtį skelbia informaciją apie savo veiklą.  </w:t>
      </w:r>
    </w:p>
    <w:p w14:paraId="35E0BE8B" w14:textId="77777777" w:rsidR="00A66D6C" w:rsidRPr="00677A8D" w:rsidRDefault="00A66D6C" w:rsidP="00A66D6C">
      <w:pPr>
        <w:pBdr>
          <w:top w:val="nil"/>
          <w:left w:val="nil"/>
          <w:bottom w:val="nil"/>
          <w:right w:val="nil"/>
          <w:between w:val="nil"/>
        </w:pBdr>
        <w:tabs>
          <w:tab w:val="left" w:pos="851"/>
        </w:tabs>
        <w:ind w:left="851"/>
        <w:jc w:val="both"/>
        <w:rPr>
          <w:rFonts w:eastAsia="Arial"/>
          <w:b/>
          <w:smallCaps/>
          <w:color w:val="000000"/>
        </w:rPr>
      </w:pPr>
    </w:p>
    <w:p w14:paraId="09FAA414"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 xml:space="preserve">PAGRINDINĖ INFORMACIJA APIE FONDĄ </w:t>
      </w:r>
    </w:p>
    <w:p w14:paraId="6F7554FA" w14:textId="77777777" w:rsidR="00A66D6C" w:rsidRPr="00677A8D" w:rsidRDefault="00A66D6C" w:rsidP="00A66D6C">
      <w:pPr>
        <w:pBdr>
          <w:top w:val="nil"/>
          <w:left w:val="nil"/>
          <w:bottom w:val="nil"/>
          <w:right w:val="nil"/>
          <w:between w:val="nil"/>
        </w:pBdr>
        <w:tabs>
          <w:tab w:val="left" w:pos="567"/>
        </w:tabs>
        <w:ind w:left="567" w:hanging="360"/>
        <w:jc w:val="both"/>
        <w:rPr>
          <w:rFonts w:eastAsia="Arial"/>
          <w:color w:val="000000"/>
        </w:rPr>
      </w:pPr>
    </w:p>
    <w:p w14:paraId="0349E021"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Fondo tikslai: </w:t>
      </w:r>
    </w:p>
    <w:p w14:paraId="4427F548" w14:textId="77777777" w:rsidR="00A66D6C" w:rsidRPr="00677A8D" w:rsidRDefault="00A66D6C" w:rsidP="00A66D6C">
      <w:pPr>
        <w:pBdr>
          <w:top w:val="nil"/>
          <w:left w:val="nil"/>
          <w:bottom w:val="nil"/>
          <w:right w:val="nil"/>
          <w:between w:val="nil"/>
        </w:pBdr>
        <w:tabs>
          <w:tab w:val="left" w:pos="851"/>
        </w:tabs>
        <w:ind w:left="851" w:hanging="360"/>
        <w:jc w:val="both"/>
        <w:rPr>
          <w:rFonts w:eastAsia="Arial"/>
          <w:color w:val="000000"/>
        </w:rPr>
      </w:pPr>
    </w:p>
    <w:p w14:paraId="4BF993D7"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investicijų suteikimas vidutinėms ir didelėms įmonėms, kurių veiklos nutraukimas gali sukelti neigiamą grandininę reakciją ir paveikti susijusius subjektus ir (arba) turėti reikšmingų socialinių ir ekonominių pasekmių;</w:t>
      </w:r>
    </w:p>
    <w:p w14:paraId="40A970ED"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3F5E1B6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ekonomikos sektorių, kurie bus geriau pasirengę ekonomikos atsigavimo laikotarpiui, išsaugojimas; </w:t>
      </w:r>
    </w:p>
    <w:p w14:paraId="184EEA95" w14:textId="77777777" w:rsidR="00A66D6C" w:rsidRPr="00677A8D" w:rsidRDefault="00A66D6C" w:rsidP="00A66D6C">
      <w:pPr>
        <w:pBdr>
          <w:top w:val="nil"/>
          <w:left w:val="nil"/>
          <w:bottom w:val="nil"/>
          <w:right w:val="nil"/>
          <w:between w:val="nil"/>
        </w:pBdr>
        <w:tabs>
          <w:tab w:val="left" w:pos="1701"/>
        </w:tabs>
        <w:jc w:val="both"/>
        <w:rPr>
          <w:rFonts w:eastAsia="Arial"/>
          <w:color w:val="000000"/>
        </w:rPr>
      </w:pPr>
    </w:p>
    <w:p w14:paraId="268A22A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kapitalo rinkos skatinimas, teikiant prioritetą kapitalo rinkos priemonėms;</w:t>
      </w:r>
    </w:p>
    <w:p w14:paraId="1C5F65CA"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12D0AE0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privačių investuotojų pritraukimas;</w:t>
      </w:r>
    </w:p>
    <w:p w14:paraId="6AB22759"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4F9C807C"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specifinių tikslų (tvariosios, ekologiškos investicijos ar kiti), numatytų susitarimuose su Fondo dalyviais, tam tikruose ekonomikos sektoriuose įgyvendinimas.</w:t>
      </w:r>
    </w:p>
    <w:p w14:paraId="41F9F841" w14:textId="77777777" w:rsidR="00A66D6C" w:rsidRPr="00677A8D" w:rsidRDefault="00A66D6C" w:rsidP="00A66D6C">
      <w:pPr>
        <w:tabs>
          <w:tab w:val="left" w:pos="851"/>
        </w:tabs>
        <w:jc w:val="both"/>
        <w:rPr>
          <w:rFonts w:eastAsia="Arial"/>
        </w:rPr>
      </w:pPr>
      <w:r w:rsidRPr="00677A8D">
        <w:rPr>
          <w:rFonts w:eastAsia="Arial"/>
        </w:rPr>
        <w:tab/>
      </w:r>
    </w:p>
    <w:p w14:paraId="2DB59BF9"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themeColor="text1"/>
        </w:rPr>
        <w:t xml:space="preserve">Fondo finansavimo sutartys sudaromos Komunikato taikymo laikotarpiu, t. y.: </w:t>
      </w:r>
    </w:p>
    <w:p w14:paraId="2B2D6870"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080C676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iki 2020 m. gruodžio 31 d. investicijų į skolos vertybinius popierius ir paskolas atveju;</w:t>
      </w:r>
    </w:p>
    <w:p w14:paraId="5EE6D425"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58657C76"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iki 2021 m. birželio 30 d. investicijų į nuosavybės ir skolos vertybinius popierius, turinčius ar galinčius turėti akcinio kapitalo požymių, atveju.</w:t>
      </w:r>
    </w:p>
    <w:p w14:paraId="48649FB8" w14:textId="77777777" w:rsidR="00A66D6C" w:rsidRPr="00677A8D" w:rsidRDefault="00A66D6C" w:rsidP="00A66D6C">
      <w:pPr>
        <w:pBdr>
          <w:top w:val="nil"/>
          <w:left w:val="nil"/>
          <w:bottom w:val="nil"/>
          <w:right w:val="nil"/>
          <w:between w:val="nil"/>
        </w:pBdr>
        <w:tabs>
          <w:tab w:val="left" w:pos="851"/>
        </w:tabs>
        <w:ind w:left="360"/>
        <w:jc w:val="both"/>
        <w:rPr>
          <w:rFonts w:eastAsia="Arial"/>
          <w:color w:val="000000"/>
        </w:rPr>
      </w:pPr>
      <w:r w:rsidRPr="00677A8D">
        <w:rPr>
          <w:rFonts w:eastAsia="Arial"/>
          <w:color w:val="000000" w:themeColor="text1"/>
        </w:rPr>
        <w:t xml:space="preserve"> </w:t>
      </w:r>
    </w:p>
    <w:p w14:paraId="5750426A"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Siektinas  pritrauktinų lėšų (Fondo) dydis – 1 mlrd. Eur.</w:t>
      </w:r>
    </w:p>
    <w:p w14:paraId="3D10BDEA"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465298F1"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Fondo uždaviniai:</w:t>
      </w:r>
    </w:p>
    <w:p w14:paraId="69C234B5" w14:textId="77777777" w:rsidR="00A66D6C" w:rsidRPr="00677A8D" w:rsidRDefault="00A66D6C" w:rsidP="00A66D6C">
      <w:pPr>
        <w:pBdr>
          <w:top w:val="nil"/>
          <w:left w:val="nil"/>
          <w:bottom w:val="nil"/>
          <w:right w:val="nil"/>
          <w:between w:val="nil"/>
        </w:pBdr>
        <w:tabs>
          <w:tab w:val="left" w:pos="851"/>
        </w:tabs>
        <w:jc w:val="both"/>
        <w:rPr>
          <w:rFonts w:eastAsia="Arial"/>
          <w:color w:val="000000"/>
        </w:rPr>
      </w:pPr>
    </w:p>
    <w:p w14:paraId="5A6CF7D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prisidėti prie gavusių investicijas įmonių finansinio tvarumo užtikrinimo;</w:t>
      </w:r>
    </w:p>
    <w:p w14:paraId="216BF4A1"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459486F3"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siekti investicinės grąžos Fondo dalyviams;</w:t>
      </w:r>
    </w:p>
    <w:p w14:paraId="6E09F689" w14:textId="77777777" w:rsidR="00A66D6C" w:rsidRPr="00677A8D" w:rsidRDefault="00A66D6C" w:rsidP="00A66D6C">
      <w:pPr>
        <w:pBdr>
          <w:top w:val="nil"/>
          <w:left w:val="nil"/>
          <w:bottom w:val="nil"/>
          <w:right w:val="nil"/>
          <w:between w:val="nil"/>
        </w:pBdr>
        <w:ind w:left="1440" w:hanging="360"/>
        <w:rPr>
          <w:rFonts w:eastAsia="Arial"/>
          <w:color w:val="000000"/>
        </w:rPr>
      </w:pPr>
    </w:p>
    <w:p w14:paraId="0F43D2F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Lietuvos kapitalo rinkos vystymas, suteikiant pirmumą kapitalo rinkos priemonėms, kaip numatyta investavimo strategijos 3.4 punkte.</w:t>
      </w:r>
    </w:p>
    <w:p w14:paraId="3800340E" w14:textId="77777777" w:rsidR="00A66D6C" w:rsidRPr="00677A8D" w:rsidRDefault="00A66D6C" w:rsidP="00A66D6C">
      <w:pPr>
        <w:pBdr>
          <w:top w:val="nil"/>
          <w:left w:val="nil"/>
          <w:bottom w:val="nil"/>
          <w:right w:val="nil"/>
          <w:between w:val="nil"/>
        </w:pBdr>
        <w:tabs>
          <w:tab w:val="left" w:pos="851"/>
        </w:tabs>
        <w:ind w:left="851" w:hanging="360"/>
        <w:jc w:val="both"/>
        <w:rPr>
          <w:rFonts w:eastAsia="Arial"/>
          <w:color w:val="000000"/>
        </w:rPr>
      </w:pPr>
    </w:p>
    <w:p w14:paraId="7AD9C204" w14:textId="77777777" w:rsidR="00A66D6C" w:rsidRPr="00677A8D" w:rsidRDefault="00A66D6C" w:rsidP="00A66D6C">
      <w:pPr>
        <w:pBdr>
          <w:top w:val="nil"/>
          <w:left w:val="nil"/>
          <w:bottom w:val="nil"/>
          <w:right w:val="nil"/>
          <w:between w:val="nil"/>
        </w:pBdr>
        <w:tabs>
          <w:tab w:val="left" w:pos="851"/>
        </w:tabs>
        <w:jc w:val="both"/>
        <w:rPr>
          <w:color w:val="000000"/>
        </w:rPr>
      </w:pPr>
    </w:p>
    <w:p w14:paraId="0EF517DB"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INVESTAVIMO OBJEKTAI IR SĄLYGOS</w:t>
      </w:r>
    </w:p>
    <w:p w14:paraId="6BA0DE89" w14:textId="77777777" w:rsidR="00A66D6C" w:rsidRPr="00677A8D" w:rsidRDefault="00A66D6C" w:rsidP="00A66D6C">
      <w:pPr>
        <w:pBdr>
          <w:top w:val="nil"/>
          <w:left w:val="nil"/>
          <w:bottom w:val="nil"/>
          <w:right w:val="nil"/>
          <w:between w:val="nil"/>
        </w:pBdr>
        <w:tabs>
          <w:tab w:val="left" w:pos="567"/>
        </w:tabs>
        <w:ind w:left="567" w:hanging="360"/>
        <w:jc w:val="both"/>
        <w:rPr>
          <w:rFonts w:eastAsia="Arial"/>
          <w:i/>
          <w:color w:val="000000"/>
        </w:rPr>
      </w:pPr>
    </w:p>
    <w:p w14:paraId="15860D88"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Fondo turtas gali būti investuojamas:</w:t>
      </w:r>
    </w:p>
    <w:p w14:paraId="52C1D347" w14:textId="77777777" w:rsidR="00A66D6C" w:rsidRPr="00677A8D" w:rsidRDefault="00A66D6C" w:rsidP="00A66D6C">
      <w:pPr>
        <w:pBdr>
          <w:top w:val="nil"/>
          <w:left w:val="nil"/>
          <w:bottom w:val="nil"/>
          <w:right w:val="nil"/>
          <w:between w:val="nil"/>
        </w:pBdr>
        <w:jc w:val="both"/>
        <w:rPr>
          <w:rFonts w:eastAsia="Arial"/>
          <w:color w:val="000000"/>
        </w:rPr>
      </w:pPr>
    </w:p>
    <w:p w14:paraId="70D31F76"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į įmonių naujai išleistus skolos vertybinius popierius (tiek platinamus viešai ir ne viešai),</w:t>
      </w:r>
      <w:sdt>
        <w:sdtPr>
          <w:tag w:val="goog_rdk_0"/>
          <w:id w:val="98844985"/>
        </w:sdtPr>
        <w:sdtEndPr/>
        <w:sdtContent/>
      </w:sdt>
      <w:r w:rsidRPr="00677A8D">
        <w:rPr>
          <w:color w:val="000000"/>
        </w:rPr>
        <w:t xml:space="preserve"> kurių trukmė siekia iki 6 metų; </w:t>
      </w:r>
    </w:p>
    <w:p w14:paraId="6E6AD572" w14:textId="77777777" w:rsidR="00A66D6C" w:rsidRPr="00677A8D" w:rsidRDefault="00A66D6C" w:rsidP="00A66D6C">
      <w:pPr>
        <w:ind w:left="1701"/>
        <w:jc w:val="both"/>
      </w:pPr>
    </w:p>
    <w:p w14:paraId="138B5FB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tiesiogiai į paskolas įmonėms, kurių trukmė siekia iki 6 metų;</w:t>
      </w:r>
    </w:p>
    <w:p w14:paraId="64E2C4B8" w14:textId="77777777" w:rsidR="00A66D6C" w:rsidRPr="00677A8D" w:rsidRDefault="00A66D6C" w:rsidP="00A66D6C">
      <w:pPr>
        <w:pStyle w:val="ListParagraph"/>
        <w:ind w:left="360"/>
        <w:rPr>
          <w:rFonts w:eastAsia="Arial"/>
          <w:color w:val="000000"/>
          <w:sz w:val="24"/>
        </w:rPr>
      </w:pPr>
    </w:p>
    <w:p w14:paraId="6AA1A24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į įmonių išleistus naujus nuosavybės vertybinius popierius; </w:t>
      </w:r>
    </w:p>
    <w:p w14:paraId="55DA8887" w14:textId="77777777" w:rsidR="00A66D6C" w:rsidRPr="00677A8D" w:rsidRDefault="00A66D6C" w:rsidP="00A66D6C"/>
    <w:p w14:paraId="3BB498F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į skolos priemones, turinčias ar galinčias turėti akcinio kapitalo požymių ir kurių trukmė siekia iki 6 metų (subordinuotoji paskola, viršijanti investavimo strategijos 3.9 punkte nustatytus dydžius, konvertuojamoji paskola, konvertuojamosios obligacijos, tarpinio pobūdžio (</w:t>
      </w:r>
      <w:r w:rsidRPr="00677A8D">
        <w:rPr>
          <w:i/>
          <w:color w:val="000000"/>
        </w:rPr>
        <w:t>angl</w:t>
      </w:r>
      <w:r w:rsidRPr="00677A8D">
        <w:rPr>
          <w:color w:val="000000"/>
        </w:rPr>
        <w:t xml:space="preserve">. Mezzanine) paskolos – toliau </w:t>
      </w:r>
      <w:r w:rsidRPr="00677A8D">
        <w:rPr>
          <w:b/>
          <w:color w:val="000000"/>
        </w:rPr>
        <w:t>Hibridinės priemonės)</w:t>
      </w:r>
      <w:r w:rsidRPr="00677A8D">
        <w:rPr>
          <w:color w:val="000000"/>
        </w:rPr>
        <w:t>.</w:t>
      </w:r>
    </w:p>
    <w:p w14:paraId="1A5DAB47" w14:textId="77777777" w:rsidR="00A66D6C" w:rsidRPr="00677A8D" w:rsidRDefault="00A66D6C" w:rsidP="00A66D6C">
      <w:pPr>
        <w:pBdr>
          <w:top w:val="nil"/>
          <w:left w:val="nil"/>
          <w:bottom w:val="nil"/>
          <w:right w:val="nil"/>
          <w:between w:val="nil"/>
        </w:pBdr>
        <w:tabs>
          <w:tab w:val="left" w:pos="1701"/>
        </w:tabs>
        <w:ind w:left="851"/>
        <w:jc w:val="both"/>
        <w:rPr>
          <w:rFonts w:eastAsia="Arial"/>
          <w:color w:val="000000"/>
        </w:rPr>
      </w:pPr>
    </w:p>
    <w:p w14:paraId="16809152" w14:textId="77777777" w:rsidR="00A66D6C" w:rsidRPr="00677A8D" w:rsidRDefault="00A66D6C" w:rsidP="00A66D6C">
      <w:pPr>
        <w:ind w:left="720"/>
        <w:jc w:val="both"/>
        <w:rPr>
          <w:rFonts w:eastAsia="Arial"/>
          <w:color w:val="000000"/>
        </w:rPr>
      </w:pPr>
      <w:r w:rsidRPr="00677A8D">
        <w:rPr>
          <w:rFonts w:eastAsia="Arial"/>
          <w:color w:val="000000"/>
        </w:rPr>
        <w:t xml:space="preserve">Skolos vertybiniais popieriais ir paskolomis (toliau – </w:t>
      </w:r>
      <w:r w:rsidRPr="00677A8D">
        <w:rPr>
          <w:rFonts w:eastAsia="Arial"/>
          <w:b/>
          <w:color w:val="000000"/>
        </w:rPr>
        <w:t>Skolos priemonės</w:t>
      </w:r>
      <w:r w:rsidRPr="00677A8D">
        <w:rPr>
          <w:rFonts w:eastAsia="Arial"/>
          <w:color w:val="000000"/>
        </w:rPr>
        <w:t xml:space="preserve">) gali būti finansuojamos tiek pagalbos gavėjo investicijos, tiek apyvartinės lėšos. Iš Fondo gautų lėšų pagalbos gavėjas negali naudoti įsipareigojimų kitiems finansiniams kreditoriams refinansavimui. Siekiant išvengti abejonių, apyvartinių lėšų naudojimas kitų finansinių kreditorių einamiesiems mokėjimams dengti nėra laikomas refinansavimu.  </w:t>
      </w:r>
    </w:p>
    <w:p w14:paraId="5D53B80D" w14:textId="77777777" w:rsidR="00A66D6C" w:rsidRPr="00677A8D" w:rsidRDefault="00A66D6C" w:rsidP="00A66D6C">
      <w:pPr>
        <w:ind w:left="720"/>
        <w:jc w:val="both"/>
        <w:rPr>
          <w:rFonts w:eastAsia="Arial"/>
          <w:color w:val="000000"/>
        </w:rPr>
      </w:pPr>
    </w:p>
    <w:p w14:paraId="6FC8AC94" w14:textId="77777777" w:rsidR="00A66D6C" w:rsidRPr="00677A8D" w:rsidRDefault="00A66D6C" w:rsidP="00A66D6C">
      <w:pPr>
        <w:ind w:left="720"/>
        <w:jc w:val="both"/>
        <w:rPr>
          <w:rFonts w:eastAsia="Arial"/>
          <w:color w:val="000000"/>
        </w:rPr>
      </w:pPr>
      <w:r w:rsidRPr="00677A8D">
        <w:rPr>
          <w:rFonts w:eastAsia="Arial"/>
          <w:color w:val="000000"/>
        </w:rPr>
        <w:t xml:space="preserve">Investicijos į tiek į pagalbos gavėjo nuosavybės vertybinius popierius, tiek į Hibridines priemones toliau vadinamos </w:t>
      </w:r>
      <w:r w:rsidRPr="00677A8D">
        <w:rPr>
          <w:rFonts w:eastAsia="Arial"/>
          <w:b/>
          <w:color w:val="000000"/>
        </w:rPr>
        <w:t>Rekapitalizavimu</w:t>
      </w:r>
      <w:r w:rsidRPr="00677A8D">
        <w:rPr>
          <w:rFonts w:eastAsia="Arial"/>
          <w:color w:val="000000"/>
        </w:rPr>
        <w:t>.</w:t>
      </w:r>
    </w:p>
    <w:p w14:paraId="00918C27"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6ABA544F"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Investicijų dydžio į Skolos priemones apribojimai:</w:t>
      </w:r>
    </w:p>
    <w:p w14:paraId="094157FC" w14:textId="77777777" w:rsidR="00A66D6C" w:rsidRPr="00677A8D" w:rsidRDefault="00A66D6C" w:rsidP="00A66D6C">
      <w:pPr>
        <w:pBdr>
          <w:top w:val="nil"/>
          <w:left w:val="nil"/>
          <w:bottom w:val="nil"/>
          <w:right w:val="nil"/>
          <w:between w:val="nil"/>
        </w:pBdr>
        <w:tabs>
          <w:tab w:val="left" w:pos="851"/>
        </w:tabs>
        <w:ind w:left="360" w:hanging="360"/>
        <w:jc w:val="both"/>
        <w:rPr>
          <w:rFonts w:eastAsia="Arial"/>
          <w:color w:val="000000"/>
        </w:rPr>
      </w:pPr>
    </w:p>
    <w:p w14:paraId="2AD91219"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investuojama į skolos vertybinius popierius nuo 1 mln. Eur;</w:t>
      </w:r>
    </w:p>
    <w:p w14:paraId="649821B8"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3B528B7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paskolos suteikiamos nuo 300 tūkst. iki 2 mln. Eur.</w:t>
      </w:r>
    </w:p>
    <w:p w14:paraId="68BD95EB" w14:textId="77777777" w:rsidR="00A66D6C" w:rsidRPr="00677A8D" w:rsidRDefault="00A66D6C" w:rsidP="00A66D6C">
      <w:pPr>
        <w:pBdr>
          <w:top w:val="nil"/>
          <w:left w:val="nil"/>
          <w:bottom w:val="nil"/>
          <w:right w:val="nil"/>
          <w:between w:val="nil"/>
        </w:pBdr>
        <w:ind w:left="720" w:hanging="360"/>
        <w:rPr>
          <w:rFonts w:eastAsia="Arial"/>
          <w:color w:val="000000"/>
        </w:rPr>
      </w:pPr>
    </w:p>
    <w:p w14:paraId="4C2D46F7"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Galutinį sprendimą dėl konkrečios priemonės, nurodytos </w:t>
      </w:r>
      <w:bookmarkStart w:id="0" w:name="_Hlk52203145"/>
      <w:r w:rsidRPr="00677A8D">
        <w:rPr>
          <w:color w:val="000000"/>
        </w:rPr>
        <w:t xml:space="preserve">investavimo strategijos </w:t>
      </w:r>
      <w:bookmarkEnd w:id="0"/>
      <w:r w:rsidRPr="00677A8D">
        <w:rPr>
          <w:color w:val="000000"/>
        </w:rPr>
        <w:t>3.1 punkte, naudojimo investicijai ir investicijos dydžio priima Fondas. Fondas prioritetą teiks investicijoms į skolos vertybinius popierius.</w:t>
      </w:r>
    </w:p>
    <w:p w14:paraId="00084F78" w14:textId="77777777" w:rsidR="00A66D6C" w:rsidRPr="00677A8D" w:rsidRDefault="00A66D6C" w:rsidP="00A66D6C">
      <w:pPr>
        <w:pBdr>
          <w:top w:val="nil"/>
          <w:left w:val="nil"/>
          <w:bottom w:val="nil"/>
          <w:right w:val="nil"/>
          <w:between w:val="nil"/>
        </w:pBdr>
        <w:ind w:left="720" w:hanging="360"/>
        <w:rPr>
          <w:rFonts w:eastAsia="Arial"/>
          <w:color w:val="000000"/>
        </w:rPr>
      </w:pPr>
    </w:p>
    <w:p w14:paraId="59DD6AFC"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Investicijų portfelio sudėties apribojimai:</w:t>
      </w:r>
    </w:p>
    <w:p w14:paraId="1E5E2ED3" w14:textId="77777777" w:rsidR="00A66D6C" w:rsidRPr="00677A8D" w:rsidRDefault="00A66D6C" w:rsidP="00A66D6C">
      <w:pPr>
        <w:pBdr>
          <w:top w:val="nil"/>
          <w:left w:val="nil"/>
          <w:bottom w:val="nil"/>
          <w:right w:val="nil"/>
          <w:between w:val="nil"/>
        </w:pBdr>
        <w:tabs>
          <w:tab w:val="left" w:pos="1701"/>
        </w:tabs>
        <w:jc w:val="both"/>
        <w:rPr>
          <w:rFonts w:eastAsia="Arial"/>
          <w:color w:val="000000"/>
        </w:rPr>
      </w:pPr>
    </w:p>
    <w:p w14:paraId="1E371DA3"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visais atvejais skolos vertybiniai popieriai turi sudaryti ne mažiau kaip 60 % nuo visų Fondo  atliktų investicijų sumos;</w:t>
      </w:r>
    </w:p>
    <w:p w14:paraId="4378A68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69A026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paskolos gali sudaryti iki 30 % nuo visų Fondo atliktų investicijų sumos;</w:t>
      </w:r>
    </w:p>
    <w:p w14:paraId="5D5B1670" w14:textId="77777777" w:rsidR="00A66D6C" w:rsidRPr="00677A8D" w:rsidRDefault="00A66D6C" w:rsidP="00A66D6C">
      <w:pPr>
        <w:pBdr>
          <w:top w:val="nil"/>
          <w:left w:val="nil"/>
          <w:bottom w:val="nil"/>
          <w:right w:val="nil"/>
          <w:between w:val="nil"/>
        </w:pBdr>
        <w:tabs>
          <w:tab w:val="left" w:pos="1701"/>
        </w:tabs>
        <w:jc w:val="both"/>
        <w:rPr>
          <w:rFonts w:eastAsia="Arial"/>
          <w:color w:val="000000"/>
        </w:rPr>
      </w:pPr>
    </w:p>
    <w:p w14:paraId="0A78AB8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nuosavybės vertybiniai popieriai ir Hibridinės priemonės gali sudaryti iki 30 % nuo visų Fondo atliktų investicijų sumos.</w:t>
      </w:r>
    </w:p>
    <w:p w14:paraId="5259B9B4" w14:textId="77777777" w:rsidR="00A66D6C" w:rsidRPr="00677A8D" w:rsidRDefault="00A66D6C" w:rsidP="00A66D6C">
      <w:pPr>
        <w:pStyle w:val="ListParagraph"/>
        <w:ind w:left="360"/>
        <w:rPr>
          <w:rFonts w:eastAsia="Arial"/>
          <w:color w:val="000000"/>
          <w:sz w:val="24"/>
        </w:rPr>
      </w:pPr>
    </w:p>
    <w:p w14:paraId="57360FCC"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Fondas investuoja į Lietuvos Respublikoje veikiančias įmones.</w:t>
      </w:r>
      <w:r w:rsidRPr="00677A8D">
        <w:rPr>
          <w:b/>
          <w:color w:val="000000"/>
        </w:rPr>
        <w:t xml:space="preserve"> </w:t>
      </w:r>
      <w:r w:rsidRPr="00677A8D">
        <w:rPr>
          <w:color w:val="000000"/>
        </w:rPr>
        <w:t>Įmonė laikoma veikiančia Lietuvos Respublikoje tuo atveju, jei ji turi buveinę arba nuolatinę buveinę, kaip apibrėžta Lietuvos Respublikos pelno mokesčio įstatyme, Lietuvos Respublikoje, kuria darbo vietas Lietuvos Respublikoje ir (arba) nuo savo vykdomos veiklos moka mokesčius arba Valstybinio socialinio draudimo fondo valdybos prie Socialinės apsaugos ir darbo ministerijos įmokas į Lietuvos Respublikos biudžetą.</w:t>
      </w:r>
    </w:p>
    <w:p w14:paraId="5008E40B"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00215929"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Investuojama į įmones, atitinkančias visus nustatytus kriterijus:</w:t>
      </w:r>
    </w:p>
    <w:p w14:paraId="1A66213C" w14:textId="77777777" w:rsidR="00A66D6C" w:rsidRPr="00677A8D" w:rsidRDefault="00A66D6C" w:rsidP="00A66D6C">
      <w:pPr>
        <w:pBdr>
          <w:top w:val="nil"/>
          <w:left w:val="nil"/>
          <w:bottom w:val="nil"/>
          <w:right w:val="nil"/>
          <w:between w:val="nil"/>
        </w:pBdr>
        <w:ind w:left="1440" w:hanging="360"/>
        <w:rPr>
          <w:rFonts w:eastAsia="Arial"/>
          <w:color w:val="000000"/>
        </w:rPr>
      </w:pPr>
    </w:p>
    <w:p w14:paraId="5B15BC2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įmonė priskiriama vidutinėms ir didelėms įmonėms, pagal kriterijus nustatytus Lietuvos Respublikos smulkiojo ir vidutinio verslo plėtros įstatyme;</w:t>
      </w:r>
    </w:p>
    <w:p w14:paraId="6BDF5B8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72C7C4D3" w14:textId="3605621F"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pagalbos gavėjo paskutinės finansinės ataskaitos turi būti pateiktos Registrų centrui, jos turi būti audituotos, jei auditas privalomas pagal teisės aktus;</w:t>
      </w:r>
    </w:p>
    <w:p w14:paraId="74D6D10E"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701EF06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pagalbos gavėjas nėra įtrauktas į Valstybinės mokesčių inspekcijos prie Lietuvos Respublikos finansų ministerijos (VMI) skelbiamą minimalių patikimo mokesčių mokėtojo kriterijų neatitinkančių įmonių sąrašą;</w:t>
      </w:r>
    </w:p>
    <w:p w14:paraId="6DF9BC64" w14:textId="77777777" w:rsidR="00A66D6C" w:rsidRPr="00677A8D" w:rsidRDefault="00A66D6C" w:rsidP="00A66D6C">
      <w:pPr>
        <w:pBdr>
          <w:top w:val="nil"/>
          <w:left w:val="nil"/>
          <w:bottom w:val="nil"/>
          <w:right w:val="nil"/>
          <w:between w:val="nil"/>
        </w:pBdr>
        <w:ind w:left="720" w:hanging="360"/>
        <w:rPr>
          <w:rFonts w:eastAsia="Arial"/>
          <w:color w:val="000000"/>
        </w:rPr>
      </w:pPr>
    </w:p>
    <w:p w14:paraId="20BD36D9"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pagalbos gavėjas 2019 m. gruodžio 31 d. nebuvo laikomas sunkumų patiriančia įmone arba 2019 m. gruodžio 31 d. buvo laikomas sunkumų patiriančia įmone, tačiau prašymo dėl finansavimo pateikimo Fondui metu nėra laikomas sunkumų patiriančia įmone, kaip tai apibrėžta Reglamento (ES) Nr. 651/2014 2 straipsnio 18 punkte</w:t>
      </w:r>
      <w:r w:rsidRPr="00677A8D">
        <w:rPr>
          <w:color w:val="000000"/>
        </w:rPr>
        <w:t>;</w:t>
      </w:r>
    </w:p>
    <w:p w14:paraId="15EDF9AD" w14:textId="77777777" w:rsidR="00A66D6C" w:rsidRPr="00677A8D" w:rsidRDefault="00A66D6C" w:rsidP="00A66D6C">
      <w:pPr>
        <w:pStyle w:val="ListParagraph"/>
        <w:ind w:left="360"/>
        <w:rPr>
          <w:rFonts w:eastAsia="Arial"/>
          <w:color w:val="000000"/>
          <w:sz w:val="24"/>
        </w:rPr>
      </w:pPr>
    </w:p>
    <w:p w14:paraId="65902954"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pagalbos gavėjas nėra gavęs valstybės pagalbos, paskelbtos neteisėta ir nesuderinama su vidaus rinka Europos Komisijos sprendimu, arba turi būti grąžinęs visą tokios neteisėtos ir nesuderinamos valstybės pagalbos sumą, įskaitant palūkanas</w:t>
      </w:r>
      <w:r w:rsidRPr="00677A8D">
        <w:rPr>
          <w:rFonts w:eastAsia="Arial"/>
          <w:color w:val="000000"/>
        </w:rPr>
        <w:t>;</w:t>
      </w:r>
    </w:p>
    <w:p w14:paraId="668E604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7F1102D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rFonts w:eastAsia="Arial"/>
          <w:color w:val="000000"/>
        </w:rPr>
        <w:t xml:space="preserve">pagalbos gavėjas neturi galimybės finansuotis rinkoje sąlygomis, kurias jis galėtų įvykdyti; </w:t>
      </w:r>
    </w:p>
    <w:p w14:paraId="4AA7245C" w14:textId="77777777" w:rsidR="00A66D6C" w:rsidRPr="00677A8D" w:rsidRDefault="00A66D6C" w:rsidP="00A66D6C">
      <w:pPr>
        <w:pStyle w:val="ListParagraph"/>
        <w:ind w:left="360"/>
        <w:rPr>
          <w:rFonts w:eastAsia="Arial"/>
          <w:color w:val="000000"/>
          <w:sz w:val="24"/>
        </w:rPr>
      </w:pPr>
    </w:p>
    <w:p w14:paraId="092ABC0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rFonts w:eastAsia="Arial"/>
          <w:color w:val="000000"/>
        </w:rPr>
        <w:t>pagalbos gavėjas neatitinka investavimo strategijos 3.12 ir 3.13 punkte numatytų kriterijų.</w:t>
      </w:r>
    </w:p>
    <w:p w14:paraId="477D4EBC"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2D42607C"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Papildomi reikalavimai pagalbos gavėjoms, kai yra investuojama į jų nuosavybės vertybinius popierius ir (arba) Hibridines priemones:</w:t>
      </w:r>
    </w:p>
    <w:p w14:paraId="667C34E2" w14:textId="77777777" w:rsidR="00A66D6C" w:rsidRPr="00677A8D" w:rsidRDefault="00A66D6C" w:rsidP="00A66D6C">
      <w:pPr>
        <w:tabs>
          <w:tab w:val="left" w:pos="1701"/>
        </w:tabs>
        <w:ind w:left="1498"/>
        <w:jc w:val="both"/>
        <w:rPr>
          <w:rFonts w:eastAsia="Arial"/>
        </w:rPr>
      </w:pPr>
    </w:p>
    <w:p w14:paraId="4605B903"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į šias priemones investuojama tik gavus raštišką pagalbos gavėjo prašymą dėl būtent tokių priemonių poreikio ir jam patvirtinus, kad jis neturi galimybės finansuotis rinkose sąlygomis, kurias galėtų įvykdyti, o kitų Fondo siūlomų priemonių ir Lietuvos Respublikoje taikomų horizontaliųjų priemonių (susijusių su likvidumo poreikiu) nepakanka jo gyvybingumui ir veiklos tęstinumui užtikrinti;</w:t>
      </w:r>
    </w:p>
    <w:p w14:paraId="64978C0B" w14:textId="77777777" w:rsidR="00A66D6C" w:rsidRPr="00677A8D" w:rsidRDefault="00A66D6C" w:rsidP="00A66D6C">
      <w:pPr>
        <w:pBdr>
          <w:top w:val="nil"/>
          <w:left w:val="nil"/>
          <w:bottom w:val="nil"/>
          <w:right w:val="nil"/>
          <w:between w:val="nil"/>
        </w:pBdr>
        <w:tabs>
          <w:tab w:val="left" w:pos="1701"/>
        </w:tabs>
        <w:ind w:left="1701"/>
        <w:jc w:val="both"/>
      </w:pPr>
    </w:p>
    <w:p w14:paraId="24E467A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pagalbos gavėjas be Fondo investicijos gali nebevykdyti veiklos ar veikla bus apsunkinta;</w:t>
      </w:r>
    </w:p>
    <w:p w14:paraId="696A1DFA" w14:textId="77777777" w:rsidR="00A66D6C" w:rsidRPr="00677A8D" w:rsidRDefault="00A66D6C" w:rsidP="00A66D6C">
      <w:pPr>
        <w:pBdr>
          <w:top w:val="nil"/>
          <w:left w:val="nil"/>
          <w:bottom w:val="nil"/>
          <w:right w:val="nil"/>
          <w:between w:val="nil"/>
        </w:pBdr>
        <w:tabs>
          <w:tab w:val="left" w:pos="1701"/>
        </w:tabs>
        <w:ind w:left="1701"/>
        <w:jc w:val="both"/>
      </w:pPr>
    </w:p>
    <w:p w14:paraId="270D00A0"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 xml:space="preserve">pagalbos gavėjo pasitraukimas iš rinkos gali lemti neigiamas socialines pasekmes, poveikį rinkai dėl reikšmingo nedarbo, inovacijų pasitraukimą, sistemines rizikas dėl svarbios įmonės pasitraukimo, ar poveikį svarbioms paslaugoms. Vertindamas šiuos kriterijus Fondas atsižvelgs į naudos gavėjos svarbą valstybės ar atskiro sektoriaus mastu (nedarbas, poveikis pirkėjams/tiekėjams, prarastų mokesčių įtaka) ir naudos kriterijus nurodytus 2014 m. liepos 31 d. Europos Komisijos komunikate Nr. 2014/C 249/01 „Gairės dėl valstybės pagalbos sunkumų patiriančioms ne finansų įmonėms sanuoti ir restruktūrizuoti“ (toliau – </w:t>
      </w:r>
      <w:r w:rsidRPr="00677A8D">
        <w:rPr>
          <w:b/>
        </w:rPr>
        <w:t>Gairės</w:t>
      </w:r>
      <w:r w:rsidRPr="00677A8D">
        <w:t>);</w:t>
      </w:r>
    </w:p>
    <w:p w14:paraId="38DDB6D1" w14:textId="77777777" w:rsidR="00A66D6C" w:rsidRPr="00677A8D" w:rsidRDefault="00A66D6C" w:rsidP="00A66D6C">
      <w:pPr>
        <w:pStyle w:val="ListParagraph"/>
        <w:ind w:left="360"/>
        <w:rPr>
          <w:sz w:val="24"/>
        </w:rPr>
      </w:pPr>
    </w:p>
    <w:p w14:paraId="2CBB4EB6"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pagalbos gavėjas, kuri atitinka didelės įmonės kriterijus, per 12 mėn. nuo Fondo investicijos, viršijančios 25% akcinio kapitalo, pateikti Fondui išsamią strategiją, kaip Fondo investicija bus išpirkta.</w:t>
      </w:r>
    </w:p>
    <w:p w14:paraId="28C76D57" w14:textId="77777777" w:rsidR="00A66D6C" w:rsidRPr="00677A8D" w:rsidRDefault="00A66D6C" w:rsidP="00A66D6C">
      <w:pPr>
        <w:pBdr>
          <w:top w:val="nil"/>
          <w:left w:val="nil"/>
          <w:bottom w:val="nil"/>
          <w:right w:val="nil"/>
          <w:between w:val="nil"/>
        </w:pBdr>
        <w:tabs>
          <w:tab w:val="left" w:pos="1701"/>
        </w:tabs>
        <w:ind w:left="1701"/>
        <w:jc w:val="both"/>
      </w:pPr>
    </w:p>
    <w:p w14:paraId="05BA788D"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rFonts w:eastAsia="Arial"/>
        </w:rPr>
        <w:t>Skolos priemonių</w:t>
      </w:r>
      <w:r w:rsidRPr="00677A8D">
        <w:rPr>
          <w:color w:val="000000"/>
        </w:rPr>
        <w:t xml:space="preserve"> suma vienam pagalbos gavėjui negali viršyti 25 % visos to pagalbos gavėjo 2019 m. apyvartos, išskyrus </w:t>
      </w:r>
      <w:r w:rsidRPr="00677A8D">
        <w:t>Komunikato 27 punkto d papunkčio iii papunktyje nustatytą išimtį</w:t>
      </w:r>
      <w:r w:rsidRPr="00677A8D">
        <w:rPr>
          <w:color w:val="000000"/>
        </w:rPr>
        <w:t xml:space="preserve">, kuri gali būti pritaikyta, jei potencialus pagalbos gavėjas savo veiklą vykdo labiausiai COVID-19 protrūkio paveiktuose sektoriuose (t.y. apgyvendinimo, turizmo, maitinimo, transporto, ne maisto prekių mažmeninės prekybos sektoriuose), atsižvelgiant į šio pagalbos gavėjo likvidumo poreikius. </w:t>
      </w:r>
    </w:p>
    <w:p w14:paraId="5DAF79CF" w14:textId="77777777" w:rsidR="00A66D6C" w:rsidRPr="00677A8D" w:rsidRDefault="00A66D6C" w:rsidP="00A66D6C"/>
    <w:p w14:paraId="2FE0EA12"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Subordinuotų skolos priemonių suma vienam pagalbos gavėjui negali viršyti vienos iš šių sumų:</w:t>
      </w:r>
    </w:p>
    <w:p w14:paraId="62806F48"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743A0694"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didelėms įmonėms – du trečdalius pagalbos gavėjo metinio darbo užmokesčio fondo, vidutinėms įmonėms – visą pagalbos gavėjo metinio darbo užmokesčio fondą;</w:t>
      </w:r>
    </w:p>
    <w:p w14:paraId="711B4B68" w14:textId="77777777" w:rsidR="00A66D6C" w:rsidRPr="00677A8D" w:rsidRDefault="00A66D6C" w:rsidP="00A66D6C">
      <w:pPr>
        <w:pBdr>
          <w:top w:val="nil"/>
          <w:left w:val="nil"/>
          <w:bottom w:val="nil"/>
          <w:right w:val="nil"/>
          <w:between w:val="nil"/>
        </w:pBdr>
        <w:tabs>
          <w:tab w:val="left" w:pos="1701"/>
        </w:tabs>
        <w:ind w:left="1701"/>
        <w:jc w:val="both"/>
        <w:rPr>
          <w:rFonts w:eastAsia="Arial"/>
        </w:rPr>
      </w:pPr>
    </w:p>
    <w:p w14:paraId="3F28C77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didelėms įmonėms – 8,4 % visos pagalbos gavėjo 2019 m. apyvartos, vidutinėms įmonėms – 12,5 % visos pagalbos gavėjo 2019 m. apyvartos.</w:t>
      </w:r>
    </w:p>
    <w:p w14:paraId="1A7A3093" w14:textId="77777777" w:rsidR="00A66D6C" w:rsidRPr="00677A8D" w:rsidRDefault="00A66D6C" w:rsidP="00A66D6C"/>
    <w:p w14:paraId="5CA63E48" w14:textId="77777777" w:rsidR="00A66D6C" w:rsidRPr="00677A8D" w:rsidRDefault="00A66D6C" w:rsidP="00A66D6C">
      <w:pPr>
        <w:pBdr>
          <w:top w:val="nil"/>
          <w:left w:val="nil"/>
          <w:bottom w:val="nil"/>
          <w:right w:val="nil"/>
          <w:between w:val="nil"/>
        </w:pBdr>
        <w:tabs>
          <w:tab w:val="left" w:pos="1701"/>
        </w:tabs>
        <w:ind w:left="720"/>
        <w:jc w:val="both"/>
        <w:rPr>
          <w:rFonts w:eastAsia="Arial"/>
        </w:rPr>
      </w:pPr>
      <w:r w:rsidRPr="00677A8D">
        <w:t>Jei šie dydžiai viršijami, tokia subordinuotoji skola laikoma Hibridine priemone ir jai taikomi Hibridinėmis priemonėms nustatyti reikalavimai.</w:t>
      </w:r>
    </w:p>
    <w:p w14:paraId="70B049E9" w14:textId="77777777" w:rsidR="00A66D6C" w:rsidRPr="00677A8D" w:rsidRDefault="00A66D6C" w:rsidP="00A66D6C">
      <w:pPr>
        <w:pBdr>
          <w:top w:val="nil"/>
          <w:left w:val="nil"/>
          <w:bottom w:val="nil"/>
          <w:right w:val="nil"/>
          <w:between w:val="nil"/>
        </w:pBdr>
        <w:jc w:val="both"/>
      </w:pPr>
    </w:p>
    <w:p w14:paraId="36107637"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Viršutinė Rekapitalizavimo riba bus nustatyta atsižvelgiant į pagalbos gavėjo kapitalo struktūros skirtumus (skolos/nuosavybės santykis ar nuosavybės/turto santykis) 2019 m. gruodžio 31 d. ir sandorio sudarymo metu. COVID-19 Rekapitalizavimo suma neturi būti didesnė, nei reikalinga siekiant užtikrinti pagalbos gavėjos veiklos tęstinumą. Vertinant pagalbos proporcingumą, būtina atsižvelgti į visą gautą ar planuojamą gauti su COVID-19 protrūkiu susijusią valstybės pagalbą. Maksimali į vieną pagalbos gavėją investuojama suma negali viršyti 250 mln. EUR.</w:t>
      </w:r>
    </w:p>
    <w:p w14:paraId="3093FE83"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3897BBF6"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rFonts w:eastAsia="Arial"/>
          <w:color w:val="000000"/>
        </w:rPr>
        <w:t xml:space="preserve">Fondas prioritetą teikia pagalbos gavėjams esantiems </w:t>
      </w:r>
      <w:r w:rsidRPr="00677A8D">
        <w:rPr>
          <w:color w:val="000000"/>
        </w:rPr>
        <w:t>VMI skelbiamame COVID-19 paveiktų įmonių sąraše.</w:t>
      </w:r>
    </w:p>
    <w:p w14:paraId="30129413"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53C77039"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Fondo lėšas draudžiama investuoti į pagalbos gavėjus, kurie: </w:t>
      </w:r>
    </w:p>
    <w:p w14:paraId="252913F3" w14:textId="77777777" w:rsidR="00A66D6C" w:rsidRPr="00677A8D" w:rsidRDefault="00A66D6C" w:rsidP="00A66D6C">
      <w:pPr>
        <w:pBdr>
          <w:top w:val="nil"/>
          <w:left w:val="nil"/>
          <w:bottom w:val="nil"/>
          <w:right w:val="nil"/>
          <w:between w:val="nil"/>
        </w:pBdr>
        <w:tabs>
          <w:tab w:val="left" w:pos="851"/>
        </w:tabs>
        <w:ind w:left="360"/>
        <w:jc w:val="both"/>
        <w:rPr>
          <w:rFonts w:eastAsia="Arial"/>
          <w:color w:val="000000"/>
        </w:rPr>
      </w:pPr>
    </w:p>
    <w:p w14:paraId="33EF119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tiesiogiai veikia ginklų ir šaudmenų, tabako ir tabako gaminių, alkoholinių gėrimų ir susijusių produktų gamybos (išskyrus nedistiliuotų alkoholinių gėrimų gamybą), perdirbimo bei specializuotos prekybos sektoriuose ir tai yra jų pagrindinė veikla;</w:t>
      </w:r>
    </w:p>
    <w:p w14:paraId="7581BBA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D0980B7"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vykdo azartinių lošimų ir lažybų organizavimo veiklą;</w:t>
      </w:r>
    </w:p>
    <w:p w14:paraId="409BAE0B" w14:textId="77777777" w:rsidR="00A66D6C" w:rsidRPr="00677A8D" w:rsidRDefault="00A66D6C" w:rsidP="00A66D6C">
      <w:pPr>
        <w:pBdr>
          <w:top w:val="nil"/>
          <w:left w:val="nil"/>
          <w:bottom w:val="nil"/>
          <w:right w:val="nil"/>
          <w:between w:val="nil"/>
        </w:pBdr>
        <w:ind w:left="720" w:hanging="360"/>
        <w:rPr>
          <w:rFonts w:eastAsia="Arial"/>
          <w:color w:val="000000"/>
        </w:rPr>
      </w:pPr>
    </w:p>
    <w:p w14:paraId="2F70B35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teikia finansines paslaugas ir vykdo draudimo veiklą;</w:t>
      </w:r>
    </w:p>
    <w:p w14:paraId="119DC8AF" w14:textId="77777777" w:rsidR="00A66D6C" w:rsidRPr="00677A8D" w:rsidRDefault="00A66D6C" w:rsidP="00A66D6C">
      <w:pPr>
        <w:pBdr>
          <w:top w:val="nil"/>
          <w:left w:val="nil"/>
          <w:bottom w:val="nil"/>
          <w:right w:val="nil"/>
          <w:between w:val="nil"/>
        </w:pBdr>
        <w:tabs>
          <w:tab w:val="left" w:pos="1701"/>
        </w:tabs>
        <w:ind w:left="720"/>
        <w:jc w:val="both"/>
        <w:rPr>
          <w:rFonts w:eastAsia="Arial"/>
          <w:color w:val="000000"/>
        </w:rPr>
      </w:pPr>
    </w:p>
    <w:p w14:paraId="6D28A98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bent vienas įmonės vadovas arba akcininkas, turintis daugiau kaip 10% kapitalo ar balsų, yra: </w:t>
      </w:r>
    </w:p>
    <w:p w14:paraId="4BFBA217" w14:textId="77777777" w:rsidR="00A66D6C" w:rsidRPr="00677A8D" w:rsidRDefault="00A66D6C" w:rsidP="00A66D6C">
      <w:pPr>
        <w:pBdr>
          <w:top w:val="nil"/>
          <w:left w:val="nil"/>
          <w:bottom w:val="nil"/>
          <w:right w:val="nil"/>
          <w:between w:val="nil"/>
        </w:pBdr>
        <w:ind w:left="720" w:hanging="360"/>
        <w:rPr>
          <w:rFonts w:eastAsia="Arial"/>
          <w:color w:val="000000"/>
        </w:rPr>
      </w:pPr>
    </w:p>
    <w:p w14:paraId="0F86194F"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t xml:space="preserve">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 arba </w:t>
      </w:r>
    </w:p>
    <w:p w14:paraId="2685B415" w14:textId="77777777" w:rsidR="00A66D6C" w:rsidRPr="00677A8D" w:rsidRDefault="00A66D6C" w:rsidP="00A66D6C">
      <w:pPr>
        <w:pBdr>
          <w:top w:val="nil"/>
          <w:left w:val="nil"/>
          <w:bottom w:val="nil"/>
          <w:right w:val="nil"/>
          <w:between w:val="nil"/>
        </w:pBdr>
        <w:tabs>
          <w:tab w:val="left" w:pos="1701"/>
        </w:tabs>
        <w:ind w:left="1637"/>
        <w:jc w:val="both"/>
        <w:rPr>
          <w:rFonts w:eastAsia="Arial"/>
          <w:color w:val="000000"/>
        </w:rPr>
      </w:pPr>
    </w:p>
    <w:p w14:paraId="725A4EEF"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t>yra pripažintas kaltu padaręs kitą, negu nurodyta</w:t>
      </w:r>
      <w:r w:rsidRPr="00677A8D">
        <w:rPr>
          <w:color w:val="000000"/>
        </w:rPr>
        <w:t xml:space="preserve"> investavimo strategijos </w:t>
      </w:r>
      <w:r w:rsidRPr="00677A8D">
        <w:t xml:space="preserve"> 3.12.4.1 punkte, Lietuvos Respublikos baudžiamajame kodekse arba kitų valstybių įstatymuose numatytą nusikalstamą veiką ir nuo bausmės atlikimo, bausmės vykdymo atidėjimo ar atleidimo nuo bausmės atlikimo dienos nepraėjo treji metai.</w:t>
      </w:r>
    </w:p>
    <w:p w14:paraId="0D9327B4" w14:textId="77777777" w:rsidR="00A66D6C" w:rsidRPr="00677A8D" w:rsidRDefault="00A66D6C" w:rsidP="00A66D6C">
      <w:pPr>
        <w:pBdr>
          <w:top w:val="nil"/>
          <w:left w:val="nil"/>
          <w:bottom w:val="nil"/>
          <w:right w:val="nil"/>
          <w:between w:val="nil"/>
        </w:pBdr>
        <w:ind w:left="1440" w:hanging="360"/>
        <w:jc w:val="both"/>
        <w:rPr>
          <w:rFonts w:eastAsia="Arial"/>
          <w:color w:val="000000"/>
        </w:rPr>
      </w:pPr>
    </w:p>
    <w:p w14:paraId="6166E80D"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Neinvestuojama į valstybės ir savivaldybių įmones ir įmones, kuriose 25 % ir daugiau įmonės akcijų, pajų ar kitokių dalyvavimą įmonės kapitale žyminčių kapitalo dalių arba 25 % ir daugiau įmonės dalyvių balsų tiesiogiai ar netiesiogiai (pagal balsavimo sutartį, balsavimo teisės perleidimo sutartį, įgaliojimą ir pan.) atskirai arba kartu turi valstybė ir (ar) savivaldybė.</w:t>
      </w:r>
    </w:p>
    <w:p w14:paraId="43E11563" w14:textId="77777777" w:rsidR="00A66D6C" w:rsidRPr="00677A8D" w:rsidRDefault="00A66D6C" w:rsidP="00A66D6C">
      <w:pPr>
        <w:pBdr>
          <w:top w:val="nil"/>
          <w:left w:val="nil"/>
          <w:bottom w:val="nil"/>
          <w:right w:val="nil"/>
          <w:between w:val="nil"/>
        </w:pBdr>
        <w:ind w:left="1440" w:hanging="360"/>
        <w:jc w:val="both"/>
        <w:rPr>
          <w:rFonts w:eastAsia="Arial"/>
          <w:color w:val="000000"/>
        </w:rPr>
      </w:pPr>
    </w:p>
    <w:p w14:paraId="2CFE4890"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BENDROSIOS INVESTAVIMO SĄLYGOS:</w:t>
      </w:r>
    </w:p>
    <w:p w14:paraId="32328EBC" w14:textId="77777777" w:rsidR="00A66D6C" w:rsidRPr="00677A8D" w:rsidRDefault="00A66D6C" w:rsidP="00A66D6C">
      <w:pPr>
        <w:pBdr>
          <w:top w:val="nil"/>
          <w:left w:val="nil"/>
          <w:bottom w:val="nil"/>
          <w:right w:val="nil"/>
          <w:between w:val="nil"/>
        </w:pBdr>
        <w:ind w:left="1440" w:hanging="360"/>
        <w:jc w:val="both"/>
        <w:rPr>
          <w:rFonts w:eastAsia="Arial"/>
          <w:color w:val="000000"/>
        </w:rPr>
      </w:pPr>
    </w:p>
    <w:p w14:paraId="589A94A4"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Bendrosios investavimo į paskolas ir skolos vertybinius popierius sąlygos:</w:t>
      </w:r>
    </w:p>
    <w:p w14:paraId="3D454952" w14:textId="77777777" w:rsidR="00A66D6C" w:rsidRPr="00677A8D" w:rsidRDefault="00A66D6C" w:rsidP="00A66D6C">
      <w:pPr>
        <w:pBdr>
          <w:top w:val="nil"/>
          <w:left w:val="nil"/>
          <w:bottom w:val="nil"/>
          <w:right w:val="nil"/>
          <w:between w:val="nil"/>
        </w:pBdr>
        <w:ind w:left="1440" w:hanging="360"/>
        <w:rPr>
          <w:rFonts w:eastAsia="Arial"/>
          <w:color w:val="000000"/>
        </w:rPr>
      </w:pPr>
    </w:p>
    <w:p w14:paraId="261A9E4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bendra paskolų palūkanų norma ir skolos vertybinių popierių pajamingumas iki išpirkimo konkrečios pagalbos gavėjos atveju bus apskaičiuojama atsižvelgiant į įmonės dydį, skolininko įsipareigojimų įvykdymo terminą (kuris negali būti ilgesnis nei 72 mėn.) ir kitus kriterijus, pagal kuriuos nustatoma taikoma rizikos premija. Ji niekada nebus mažesnė nei bazinė norma (Europos Komisijos paskelbta 1 metų IBOR arba lygiavertė palūkanų norma, kurią skelbia Europos Komisija), taikoma nuo 2020 m. sausio 1 d., pridėjus ne mažiau kaip: </w:t>
      </w:r>
    </w:p>
    <w:p w14:paraId="66374C01" w14:textId="77777777" w:rsidR="00A66D6C" w:rsidRPr="00677A8D" w:rsidRDefault="00A66D6C" w:rsidP="00A66D6C">
      <w:pPr>
        <w:pBdr>
          <w:top w:val="nil"/>
          <w:left w:val="nil"/>
          <w:bottom w:val="nil"/>
          <w:right w:val="nil"/>
          <w:between w:val="nil"/>
        </w:pBdr>
        <w:tabs>
          <w:tab w:val="left" w:pos="1701"/>
        </w:tabs>
        <w:ind w:left="1498"/>
        <w:jc w:val="both"/>
        <w:rPr>
          <w:rFonts w:eastAsia="Arial"/>
          <w:color w:val="000000"/>
        </w:rPr>
      </w:pPr>
    </w:p>
    <w:p w14:paraId="726BBB5F"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 xml:space="preserve">vidutinėms įmonėms – 25 bazinius punktus pirmaisiais metais; 50 bazinių punktų antraisiais ir trečiaisiais metais; 100 bazinių punktų ketvirtaisiais–šeštaisiais paskolos arba skolos vertybinių popierių metais; </w:t>
      </w:r>
    </w:p>
    <w:p w14:paraId="2A0012C4" w14:textId="77777777" w:rsidR="00A66D6C" w:rsidRPr="00677A8D" w:rsidRDefault="00A66D6C" w:rsidP="00A66D6C">
      <w:pPr>
        <w:pStyle w:val="ListParagraph"/>
        <w:ind w:left="360"/>
        <w:rPr>
          <w:rFonts w:eastAsia="Arial"/>
          <w:color w:val="000000"/>
          <w:sz w:val="24"/>
        </w:rPr>
      </w:pPr>
    </w:p>
    <w:p w14:paraId="5FDCA85E"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didelėms įmonėms – 50 bazinių punktų pirmaisiais metais; 100 bazinių punktų antraisiais ir trečiaisiais metais; 200 bazinių punktų ketvirtaisiais–šeštaisiais paskolos arba skolos vertybinių popierių metais;</w:t>
      </w:r>
    </w:p>
    <w:p w14:paraId="2F33FCB6" w14:textId="77777777" w:rsidR="00A66D6C" w:rsidRPr="00677A8D" w:rsidRDefault="00A66D6C" w:rsidP="00A66D6C">
      <w:pPr>
        <w:pStyle w:val="ListParagraph"/>
        <w:ind w:left="360"/>
        <w:rPr>
          <w:rFonts w:eastAsia="Arial"/>
          <w:color w:val="000000"/>
          <w:sz w:val="24"/>
        </w:rPr>
      </w:pPr>
    </w:p>
    <w:p w14:paraId="78728E6E"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skolos priemonės, kurios yra subordinuojamos privilegijuotųjų kreditorių atžvilgiu, gali būti suteiktos tik su papildoma kredito rizikos marža (kuri būtų ne mažesnė už maržą, taikomą prie pirmiau minėtos bendros palūkanų normos pridėjus 150 bazinių punktų vidutinių įmonių ir 200 bazinių punktų didelių įmonių atveju). </w:t>
      </w:r>
    </w:p>
    <w:p w14:paraId="5DCF1AA1" w14:textId="77777777" w:rsidR="00A66D6C" w:rsidRPr="00677A8D" w:rsidRDefault="00A66D6C" w:rsidP="00A66D6C">
      <w:pPr>
        <w:ind w:left="1701"/>
        <w:jc w:val="both"/>
      </w:pPr>
    </w:p>
    <w:p w14:paraId="6D3D7850"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Bendrosios investavimo į nuosavybės vertybinius popierius sąlygos:</w:t>
      </w:r>
    </w:p>
    <w:p w14:paraId="6A3D8F7E" w14:textId="77777777" w:rsidR="00A66D6C" w:rsidRPr="00677A8D" w:rsidRDefault="00A66D6C" w:rsidP="00A66D6C">
      <w:pPr>
        <w:ind w:left="1701"/>
        <w:jc w:val="both"/>
      </w:pPr>
    </w:p>
    <w:p w14:paraId="56B6CD7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investavimo į nuosavybės vertybinius popierius atveju Fondo suteikiamos investicijos ar kitos analogiškos priemonės kaina neturi viršyti vidutinės pagalbos gavėjos akcijų kainos per 15 d. iki prašymo suteikti kapitalo investiciją pateikimo dienos; biržoje neprekiaujamų nuosavybės vertybinių popierių vertė nustatoma atliekant nepriklausomą vertinimą.</w:t>
      </w:r>
    </w:p>
    <w:p w14:paraId="3DF5D96D" w14:textId="77777777" w:rsidR="00A66D6C" w:rsidRPr="00677A8D" w:rsidRDefault="00A66D6C" w:rsidP="00A66D6C">
      <w:pPr>
        <w:rPr>
          <w:rFonts w:eastAsia="Arial"/>
        </w:rPr>
      </w:pPr>
    </w:p>
    <w:p w14:paraId="1BA2FA19"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pagalbos gavėjos akcininkai turi turėti galimybę bet kuriuo metu išpirkti nuosavybės vertybinius popierius. Siekiant užtikrinti, kad Fondui už investiciją būtų tinkamai atlyginta, išpirkimo kaina turėtų būti didžiausia iš šių galimų variantų:</w:t>
      </w:r>
    </w:p>
    <w:p w14:paraId="56616035" w14:textId="77777777" w:rsidR="00A66D6C" w:rsidRPr="00677A8D" w:rsidRDefault="00A66D6C" w:rsidP="00A66D6C">
      <w:pPr>
        <w:pStyle w:val="ListParagraph"/>
        <w:ind w:left="360"/>
        <w:rPr>
          <w:rFonts w:eastAsia="Arial"/>
          <w:color w:val="000000"/>
          <w:sz w:val="24"/>
        </w:rPr>
      </w:pPr>
    </w:p>
    <w:p w14:paraId="70B4A3E6" w14:textId="0B3E6798"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Fondo nominalioji investicija, pridėjus metinę palūkanų normą, kuri apskaičiuojama prie bazinės norm</w:t>
      </w:r>
      <w:r w:rsidR="00611CF6">
        <w:rPr>
          <w:color w:val="000000"/>
        </w:rPr>
        <w:t>os</w:t>
      </w:r>
      <w:r w:rsidRPr="00677A8D">
        <w:rPr>
          <w:color w:val="000000"/>
        </w:rPr>
        <w:t xml:space="preserve"> (Komisijos paskelbta 1 metų IBOR arba lygiavertė palūkanų norma)</w:t>
      </w:r>
      <w:r w:rsidR="00611CF6">
        <w:rPr>
          <w:color w:val="000000"/>
        </w:rPr>
        <w:t xml:space="preserve"> pridėjus</w:t>
      </w:r>
      <w:r w:rsidRPr="00677A8D">
        <w:rPr>
          <w:color w:val="000000"/>
        </w:rPr>
        <w:t>, atitinkamai  investavimo strategijos 4.3.2.1 ir 4.3.2.2. punktuose nurodytas palūkanas, bei papildomus 200 bazinių punktų, su išimtimi, kad jie nepridedami 8 ir vėlesniais metais;</w:t>
      </w:r>
    </w:p>
    <w:p w14:paraId="5D0095CE" w14:textId="77777777" w:rsidR="00A66D6C" w:rsidRPr="00677A8D" w:rsidRDefault="00A66D6C" w:rsidP="00A66D6C">
      <w:pPr>
        <w:pStyle w:val="ListParagraph"/>
        <w:ind w:left="360"/>
        <w:rPr>
          <w:rFonts w:eastAsia="Arial"/>
          <w:color w:val="000000"/>
          <w:sz w:val="24"/>
        </w:rPr>
      </w:pPr>
    </w:p>
    <w:p w14:paraId="7A7FE55C"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 xml:space="preserve">rinkos kaina išpirkimo metu, nustatoma kaip nurodyta investavimo strategijos 4.2.1 punkte.  </w:t>
      </w:r>
    </w:p>
    <w:p w14:paraId="178EFF59" w14:textId="77777777" w:rsidR="00A66D6C" w:rsidRPr="00677A8D" w:rsidRDefault="00A66D6C" w:rsidP="00A66D6C">
      <w:pPr>
        <w:pStyle w:val="ListParagraph"/>
        <w:ind w:left="360"/>
        <w:rPr>
          <w:rFonts w:eastAsia="Arial"/>
          <w:color w:val="000000"/>
          <w:sz w:val="24"/>
        </w:rPr>
      </w:pPr>
    </w:p>
    <w:p w14:paraId="63E6B5CC"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Fondas taip pat gali nuspręsti paduoti nuosavybės vertybinius popierius tretiesiems asmenims. Tokiu atveju pagalbos gavėjos akcininkams suteikiama galimybė pirkti nuosavybės vertybinius popierius už trečiųjų asmenų pasiūlytą kainą. Jei pagalbos gavėjos akcininkai tokia galimybe nepasinaudoja, Fondas parduoda nuosavybės vertybinius popierius tretiesiems asmenims. Fondo investicijos didinimo mechanizmas, taikomas Rekapitalizavimo atveju:</w:t>
      </w:r>
    </w:p>
    <w:p w14:paraId="24D9435B" w14:textId="77777777" w:rsidR="00A66D6C" w:rsidRPr="00677A8D" w:rsidRDefault="00A66D6C" w:rsidP="00A66D6C">
      <w:pPr>
        <w:pBdr>
          <w:top w:val="nil"/>
          <w:left w:val="nil"/>
          <w:bottom w:val="nil"/>
          <w:right w:val="nil"/>
          <w:between w:val="nil"/>
        </w:pBdr>
        <w:tabs>
          <w:tab w:val="left" w:pos="1701"/>
        </w:tabs>
        <w:ind w:left="1498"/>
        <w:jc w:val="both"/>
        <w:rPr>
          <w:rFonts w:eastAsia="Arial"/>
          <w:color w:val="000000"/>
        </w:rPr>
      </w:pPr>
    </w:p>
    <w:p w14:paraId="3DF9B148"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jei Fondas per 4 metus nuo investicijos (arba per 5 metus, jei subjektas nėra listinguojama bendrovė) neparduos bent 40 % investicijos, Fondas neatlygintinai šalia turimos nuosavybės vertybinių popierių dalies gaus papildomą dalį pagalbos gavėjos nuosavybės vertybinių popierių. Ši papildoma nuosavybės vertybinių popierių dalis sudarys ne mažiau kaip 10 % likusios Fondo investicijos dalies</w:t>
      </w:r>
      <w:bookmarkStart w:id="1" w:name="_Hlk49950939"/>
      <w:r w:rsidRPr="00677A8D">
        <w:rPr>
          <w:color w:val="000000"/>
        </w:rPr>
        <w:t>;</w:t>
      </w:r>
    </w:p>
    <w:bookmarkEnd w:id="1"/>
    <w:p w14:paraId="2F12EBFA" w14:textId="77777777" w:rsidR="00A66D6C" w:rsidRPr="00677A8D" w:rsidRDefault="00A66D6C" w:rsidP="00A66D6C">
      <w:pPr>
        <w:pBdr>
          <w:top w:val="nil"/>
          <w:left w:val="nil"/>
          <w:bottom w:val="nil"/>
          <w:right w:val="nil"/>
          <w:between w:val="nil"/>
        </w:pBdr>
        <w:tabs>
          <w:tab w:val="left" w:pos="1701"/>
        </w:tabs>
        <w:ind w:left="1498"/>
        <w:jc w:val="both"/>
        <w:rPr>
          <w:rFonts w:eastAsia="Arial"/>
          <w:color w:val="000000"/>
        </w:rPr>
      </w:pPr>
    </w:p>
    <w:p w14:paraId="03F3A0FA"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jei Fondas per 6 metus nuo investicijos (arba per 7 metus, jei subjektas nėra listinguojama bendrovė) neparduos visos savo investicijos, Fondas, neatlygintinai gaus antrą papildomą pagalbos gavėjo nuosavybės vertybinių popierių dalį, sudarančią ne mažiau kaip 10 % likusios Fondo investicijos nuosavybės dalies;</w:t>
      </w:r>
    </w:p>
    <w:p w14:paraId="3473516A" w14:textId="77777777" w:rsidR="00A66D6C" w:rsidRPr="00677A8D" w:rsidRDefault="00A66D6C" w:rsidP="00A66D6C">
      <w:pPr>
        <w:pStyle w:val="ListParagraph"/>
        <w:ind w:left="360"/>
        <w:rPr>
          <w:rFonts w:eastAsia="Arial"/>
          <w:color w:val="000000"/>
          <w:sz w:val="24"/>
        </w:rPr>
      </w:pPr>
    </w:p>
    <w:p w14:paraId="47072AFF"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ar pagalbos gavėjas yra listinguojama bendrovė, nustatoma investavimo strategijos 4.2.3.1 ir 4.2.3.2 punktuose numatytų teisių realizavimo metu. Fondui didinant savo investicijos dalį investavimo strategijos 4.2.3.1 ir 4.2.3.2 punktuose nurodytais būdais, atitinkamai sumažės kitų akcininkų turima nuosavybės vertybinių popierių dalis.</w:t>
      </w:r>
    </w:p>
    <w:p w14:paraId="79094A28" w14:textId="77777777" w:rsidR="00A66D6C" w:rsidRPr="00677A8D" w:rsidRDefault="00A66D6C" w:rsidP="00A66D6C">
      <w:pPr>
        <w:ind w:left="1701"/>
        <w:jc w:val="both"/>
      </w:pPr>
    </w:p>
    <w:p w14:paraId="746ED258" w14:textId="77777777" w:rsidR="00A66D6C" w:rsidRPr="00677A8D" w:rsidRDefault="00A66D6C" w:rsidP="00030C29">
      <w:pPr>
        <w:numPr>
          <w:ilvl w:val="1"/>
          <w:numId w:val="10"/>
        </w:numPr>
        <w:pBdr>
          <w:top w:val="nil"/>
          <w:left w:val="nil"/>
          <w:bottom w:val="nil"/>
          <w:right w:val="nil"/>
          <w:between w:val="nil"/>
        </w:pBdr>
        <w:tabs>
          <w:tab w:val="left" w:pos="851"/>
        </w:tabs>
        <w:jc w:val="both"/>
        <w:rPr>
          <w:rFonts w:eastAsia="Arial"/>
          <w:color w:val="000000"/>
        </w:rPr>
      </w:pPr>
      <w:r w:rsidRPr="00677A8D">
        <w:rPr>
          <w:color w:val="000000"/>
        </w:rPr>
        <w:t>Bendrosios investavimo Hibridines priemones sąlygos:</w:t>
      </w:r>
    </w:p>
    <w:p w14:paraId="5A8876DF" w14:textId="77777777" w:rsidR="00A66D6C" w:rsidRPr="00677A8D" w:rsidRDefault="00A66D6C" w:rsidP="00A66D6C">
      <w:pPr>
        <w:ind w:left="1701"/>
        <w:jc w:val="both"/>
      </w:pPr>
    </w:p>
    <w:p w14:paraId="4045416C"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investavimo į Hibridines priemones  atveju atliekamas individualus vertinimas, atsižvelgiant į naudojamos priemonės savybes, su priemone susietą akcinio kapitalo dalį, rizikas, palyginamąsias palūkanų normas, subordinacijos lygmenį, mokėjimo sąlygas ir numatytas paskatas atsisakyti paramos (pvz., laipsniško didėjimo ir išpirkimo sąlygas);</w:t>
      </w:r>
    </w:p>
    <w:p w14:paraId="3BEBA21A" w14:textId="77777777" w:rsidR="00A66D6C" w:rsidRPr="00677A8D" w:rsidRDefault="00A66D6C" w:rsidP="00A66D6C">
      <w:pPr>
        <w:pBdr>
          <w:top w:val="nil"/>
          <w:left w:val="nil"/>
          <w:bottom w:val="nil"/>
          <w:right w:val="nil"/>
          <w:between w:val="nil"/>
        </w:pBdr>
        <w:jc w:val="both"/>
      </w:pPr>
    </w:p>
    <w:p w14:paraId="59B69F6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minimalus atlygis už šias priemones niekada nebus mažesnis nei bazinė norma (Europos Komisijos paskelbta 1 metų IBOR arba lygiavertė palūkanų norma, kurią skelbia Europos Komisija), pridėjus ne mažiau kaip:</w:t>
      </w:r>
    </w:p>
    <w:p w14:paraId="4E0F0C96" w14:textId="77777777" w:rsidR="00A66D6C" w:rsidRPr="00677A8D" w:rsidRDefault="00A66D6C" w:rsidP="00A66D6C">
      <w:pPr>
        <w:ind w:left="720"/>
        <w:jc w:val="both"/>
      </w:pPr>
    </w:p>
    <w:p w14:paraId="3262B73A"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vidutinėms įmonėms – 225 bazinius punktus pirmaisiais metais; 325 bazinius punktus antraisiais ir trečiaisiais metais; 450 bazinių punktų ketvirtaisiais ir penktaisiais metais; 600 bazinių punktų šeštaisiais ir septintaisiais metais; 800 bazinių punktų aštuntaisiais metais ir vėlesniu laikotarpiu;</w:t>
      </w:r>
    </w:p>
    <w:p w14:paraId="101BF2A8" w14:textId="77777777" w:rsidR="00A66D6C" w:rsidRPr="00677A8D" w:rsidRDefault="00A66D6C" w:rsidP="00A66D6C">
      <w:pPr>
        <w:ind w:left="720"/>
        <w:jc w:val="both"/>
      </w:pPr>
    </w:p>
    <w:p w14:paraId="1B38CE8E"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didelėms įmonėms – 250 bazinių punktų pirmaisiais metais; 350 bazinių punktų antraisiais ir trečiaisiais metais; 500 bazinių punktų ketvirtaisiais ir penktaisiais metais; 700 bazinių punktų šeštaisiais ir septintaisiais metais; 950 bazinių punktų aštuntaisiais metais ir vėlesniu laikotarpiu.</w:t>
      </w:r>
    </w:p>
    <w:p w14:paraId="6D58E7EA" w14:textId="77777777" w:rsidR="00A66D6C" w:rsidRPr="00677A8D" w:rsidRDefault="00A66D6C" w:rsidP="00A66D6C">
      <w:pPr>
        <w:ind w:left="720"/>
        <w:jc w:val="both"/>
      </w:pPr>
    </w:p>
    <w:p w14:paraId="06C5DD0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investavimo terminas - 6 metai;</w:t>
      </w:r>
    </w:p>
    <w:p w14:paraId="6FBDAB29" w14:textId="77777777" w:rsidR="00A66D6C" w:rsidRPr="00677A8D" w:rsidRDefault="00A66D6C" w:rsidP="00A66D6C">
      <w:pPr>
        <w:jc w:val="both"/>
      </w:pPr>
    </w:p>
    <w:p w14:paraId="5A5C3EA0"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Fondas gali priimti atskirą sprendimą dėl kiekvienos sutarties, ar obligacijų kupono mokėjimai yra privalomi, net jei įmonė negauna apskaitinio pelno; privalomi, jei įmonė gauna apskaitinį pelną; </w:t>
      </w:r>
    </w:p>
    <w:p w14:paraId="1FDB6E59" w14:textId="77777777" w:rsidR="00A66D6C" w:rsidRPr="00677A8D" w:rsidRDefault="00A66D6C" w:rsidP="00A66D6C">
      <w:pPr>
        <w:jc w:val="both"/>
      </w:pPr>
    </w:p>
    <w:p w14:paraId="4025073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pirmalaikis grąžinimas galimas bet kuriuo metu (įskaitant susikaupusias palūkanas);</w:t>
      </w:r>
    </w:p>
    <w:p w14:paraId="67930D11" w14:textId="77777777" w:rsidR="00A66D6C" w:rsidRPr="00677A8D" w:rsidRDefault="00A66D6C" w:rsidP="00A66D6C">
      <w:pPr>
        <w:jc w:val="both"/>
      </w:pPr>
    </w:p>
    <w:p w14:paraId="0F692C95"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Fondas gali atlikti konvertavimą suėjus terminui, jei skola negrąžinama iki termino pabaigos (automatinis konvertavimas) arba iš anksto nustatytais atvejais (kai apskaitinis turtas tampa neigiamas ar kitu su likvidumu susijusiu atveju, pažeidus finansavimo sutartyje numatytas ar kitas reikšmingas sąlygas);</w:t>
      </w:r>
    </w:p>
    <w:p w14:paraId="50DFF6B7" w14:textId="77777777" w:rsidR="00A66D6C" w:rsidRPr="00677A8D" w:rsidRDefault="00A66D6C" w:rsidP="00A66D6C">
      <w:pPr>
        <w:ind w:left="720"/>
        <w:jc w:val="both"/>
      </w:pPr>
    </w:p>
    <w:p w14:paraId="3B08B93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Hibridinių priemonių konvertavimas į akcijas atliekamas taikant ne </w:t>
      </w:r>
      <w:r w:rsidRPr="00677A8D">
        <w:t>mažiau kaip 5 procentus, nesiekiant konvertavimo metu galiojančios teorinės kainos be pasirašymo mokesčio</w:t>
      </w:r>
      <w:r w:rsidRPr="00677A8D" w:rsidDel="00CC122F">
        <w:rPr>
          <w:color w:val="000000"/>
        </w:rPr>
        <w:t xml:space="preserve"> </w:t>
      </w:r>
      <w:r w:rsidRPr="00677A8D">
        <w:rPr>
          <w:color w:val="000000"/>
        </w:rPr>
        <w:t xml:space="preserve">(angl. </w:t>
      </w:r>
      <w:r w:rsidRPr="00677A8D">
        <w:rPr>
          <w:i/>
          <w:color w:val="000000"/>
        </w:rPr>
        <w:t>Theoretical Ex-Rights Price</w:t>
      </w:r>
      <w:r w:rsidRPr="00677A8D">
        <w:rPr>
          <w:color w:val="000000"/>
        </w:rPr>
        <w:t>);</w:t>
      </w:r>
    </w:p>
    <w:p w14:paraId="58B6AB61" w14:textId="77777777" w:rsidR="00A66D6C" w:rsidRPr="00677A8D" w:rsidRDefault="00A66D6C" w:rsidP="00A66D6C">
      <w:pPr>
        <w:jc w:val="both"/>
      </w:pPr>
    </w:p>
    <w:p w14:paraId="72D982C0"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 xml:space="preserve">jeigu Hibridinė priemonė konvertuojama į nuosavybės vertybinius popierius, aktyvuojamas didinimo mechanizmas (investavimo strategijos 4.2.3 punktas). Didinimas pradedamas taikyti praėjus dvejiems metams po konvertavimo.  </w:t>
      </w:r>
    </w:p>
    <w:p w14:paraId="1D79E9C7" w14:textId="77777777" w:rsidR="00A66D6C" w:rsidRPr="00677A8D" w:rsidRDefault="00A66D6C" w:rsidP="00A66D6C">
      <w:pPr>
        <w:pBdr>
          <w:top w:val="nil"/>
          <w:left w:val="nil"/>
          <w:bottom w:val="nil"/>
          <w:right w:val="nil"/>
          <w:between w:val="nil"/>
        </w:pBdr>
        <w:ind w:left="720" w:hanging="360"/>
        <w:rPr>
          <w:rFonts w:eastAsia="Arial"/>
          <w:color w:val="000000"/>
        </w:rPr>
      </w:pPr>
    </w:p>
    <w:p w14:paraId="690A2BAA" w14:textId="7418EE75"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rFonts w:eastAsia="Arial"/>
          <w:color w:val="000000"/>
        </w:rPr>
        <w:t>Fondas palūkanoms skaičiuoti naudos sudėtinių kaupiamųjų palūkanų apskaičiavimo principą. Sudėtinės kaupiamosios palūkanos apskaičiuojamas prie bazinės palūkanų normos pridėjus atitinkamai palūkan</w:t>
      </w:r>
      <w:r w:rsidR="00556548">
        <w:rPr>
          <w:rFonts w:eastAsia="Arial"/>
          <w:color w:val="000000"/>
        </w:rPr>
        <w:t>ų maržą</w:t>
      </w:r>
      <w:r w:rsidRPr="00677A8D">
        <w:rPr>
          <w:rFonts w:eastAsia="Arial"/>
          <w:color w:val="000000"/>
        </w:rPr>
        <w:t xml:space="preserve"> bei papildomus bazinius punktus.</w:t>
      </w:r>
    </w:p>
    <w:p w14:paraId="463A17B0"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3DAB893D"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themeColor="text1"/>
        </w:rPr>
        <w:t xml:space="preserve">Fondas </w:t>
      </w:r>
      <w:r w:rsidRPr="00677A8D">
        <w:t>savo nuožiūra gali</w:t>
      </w:r>
      <w:r w:rsidRPr="00677A8D" w:rsidDel="00E410AC">
        <w:rPr>
          <w:color w:val="000000" w:themeColor="text1"/>
        </w:rPr>
        <w:t xml:space="preserve"> </w:t>
      </w:r>
      <w:r w:rsidRPr="00677A8D">
        <w:rPr>
          <w:color w:val="000000" w:themeColor="text1"/>
        </w:rPr>
        <w:t xml:space="preserve">priimti sprendimą dėl investicijų į konkrečias įmones ir konkrečios investicijos dydžio bei formos. Priimdamas sprendimą, Fondas vadovaujasi </w:t>
      </w:r>
      <w:r w:rsidRPr="00677A8D">
        <w:rPr>
          <w:color w:val="000000"/>
        </w:rPr>
        <w:t xml:space="preserve">investavimo strategijos </w:t>
      </w:r>
      <w:r w:rsidRPr="00677A8D">
        <w:rPr>
          <w:color w:val="000000" w:themeColor="text1"/>
        </w:rPr>
        <w:t>2.1 punkte nustatytais Fondo tikslais, atsižvelgia į disponuojamų lėšų dydį, pasirinktos investicijos įtaką konkurencijai rinkoje, suplanuotą kitų investicijų grąžą ir gautų paraiškų srautą.</w:t>
      </w:r>
    </w:p>
    <w:p w14:paraId="78BCBBE1" w14:textId="77777777" w:rsidR="00A66D6C" w:rsidRPr="00677A8D" w:rsidRDefault="00A66D6C" w:rsidP="00A66D6C">
      <w:pPr>
        <w:pBdr>
          <w:top w:val="nil"/>
          <w:left w:val="nil"/>
          <w:bottom w:val="nil"/>
          <w:right w:val="nil"/>
          <w:between w:val="nil"/>
        </w:pBdr>
        <w:ind w:left="720" w:hanging="360"/>
        <w:rPr>
          <w:rFonts w:eastAsia="Arial"/>
          <w:color w:val="000000"/>
        </w:rPr>
      </w:pPr>
    </w:p>
    <w:p w14:paraId="7B8094F4"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rPr>
      </w:pPr>
      <w:r w:rsidRPr="00677A8D">
        <w:rPr>
          <w:color w:val="000000"/>
        </w:rPr>
        <w:t>Laisvos Fondo lėšos grąžinamos Fondo dalyviams Fondo dalyvių sutartyje numatyta tvarka.</w:t>
      </w:r>
    </w:p>
    <w:p w14:paraId="0EDF5C57" w14:textId="77777777" w:rsidR="00A66D6C" w:rsidRPr="00677A8D" w:rsidRDefault="00A66D6C" w:rsidP="00A66D6C">
      <w:pPr>
        <w:pBdr>
          <w:top w:val="nil"/>
          <w:left w:val="nil"/>
          <w:bottom w:val="nil"/>
          <w:right w:val="nil"/>
          <w:between w:val="nil"/>
        </w:pBdr>
        <w:tabs>
          <w:tab w:val="left" w:pos="851"/>
        </w:tabs>
        <w:ind w:left="851"/>
        <w:jc w:val="both"/>
        <w:rPr>
          <w:rFonts w:eastAsia="Arial"/>
        </w:rPr>
      </w:pPr>
    </w:p>
    <w:p w14:paraId="29E62749"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bookmarkStart w:id="2" w:name="_heading=h.2et92p0"/>
      <w:bookmarkEnd w:id="2"/>
      <w:r w:rsidRPr="00677A8D">
        <w:rPr>
          <w:color w:val="000000"/>
        </w:rPr>
        <w:t>Fondas, laikydamasis investavimo strategijos, taip pat turi teisę koinvestuoti su kitais investuotojais, kurie nėra Fondo dalyviai.</w:t>
      </w:r>
    </w:p>
    <w:p w14:paraId="7D7DDF67" w14:textId="77777777" w:rsidR="00A66D6C" w:rsidRPr="00677A8D" w:rsidRDefault="00A66D6C" w:rsidP="00A66D6C">
      <w:pPr>
        <w:pBdr>
          <w:top w:val="nil"/>
          <w:left w:val="nil"/>
          <w:bottom w:val="nil"/>
          <w:right w:val="nil"/>
          <w:between w:val="nil"/>
        </w:pBdr>
        <w:ind w:left="720" w:hanging="360"/>
        <w:rPr>
          <w:rFonts w:eastAsia="Arial"/>
          <w:color w:val="000000"/>
        </w:rPr>
      </w:pPr>
    </w:p>
    <w:p w14:paraId="60F061FC"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t xml:space="preserve">Fondui draudžiama garantuoti ar laiduoti savo turtu už kitų asmenų įsipareigojimus, teikti labdarą ar paramą ir vykdyti kitokią su šia investavimo strategija nesuderinamą veiklą. </w:t>
      </w:r>
    </w:p>
    <w:p w14:paraId="00EBEC39" w14:textId="77777777" w:rsidR="00A66D6C" w:rsidRPr="00677A8D" w:rsidRDefault="00A66D6C" w:rsidP="00A66D6C">
      <w:pPr>
        <w:pBdr>
          <w:top w:val="nil"/>
          <w:left w:val="nil"/>
          <w:bottom w:val="nil"/>
          <w:right w:val="nil"/>
          <w:between w:val="nil"/>
        </w:pBdr>
        <w:tabs>
          <w:tab w:val="left" w:pos="851"/>
        </w:tabs>
        <w:jc w:val="both"/>
        <w:rPr>
          <w:rFonts w:eastAsia="Arial"/>
        </w:rPr>
      </w:pPr>
      <w:bookmarkStart w:id="3" w:name="_heading=h.vtrbijyrucih"/>
      <w:bookmarkEnd w:id="3"/>
    </w:p>
    <w:p w14:paraId="75D1FADB"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bookmarkStart w:id="4" w:name="_heading=h.sgkib3oykg7a"/>
      <w:bookmarkEnd w:id="4"/>
      <w:r w:rsidRPr="00677A8D">
        <w:rPr>
          <w:b/>
          <w:smallCaps/>
          <w:color w:val="000000"/>
        </w:rPr>
        <w:t>FINANSAVIMO SANDORIO PABAIGA (INVESTICIJŲ LIKVIDAVIMAS)</w:t>
      </w:r>
    </w:p>
    <w:p w14:paraId="13918D96" w14:textId="77777777" w:rsidR="00A66D6C" w:rsidRPr="00677A8D" w:rsidRDefault="00A66D6C" w:rsidP="00A66D6C">
      <w:pPr>
        <w:pBdr>
          <w:top w:val="nil"/>
          <w:left w:val="nil"/>
          <w:bottom w:val="nil"/>
          <w:right w:val="nil"/>
          <w:between w:val="nil"/>
        </w:pBdr>
        <w:tabs>
          <w:tab w:val="left" w:pos="851"/>
        </w:tabs>
        <w:ind w:left="851"/>
        <w:jc w:val="both"/>
        <w:rPr>
          <w:rFonts w:eastAsia="Arial"/>
          <w:b/>
          <w:smallCaps/>
          <w:color w:val="000000"/>
        </w:rPr>
      </w:pPr>
    </w:p>
    <w:p w14:paraId="51F17368"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Investicijos likviduojamos laikantis investavimo strategijos </w:t>
      </w:r>
      <w:r w:rsidR="00F727E3">
        <w:rPr>
          <w:color w:val="000000"/>
        </w:rPr>
        <w:t xml:space="preserve">3 ir </w:t>
      </w:r>
      <w:r w:rsidR="00750F9B" w:rsidRPr="00677A8D">
        <w:rPr>
          <w:color w:val="000000"/>
        </w:rPr>
        <w:t xml:space="preserve">4 </w:t>
      </w:r>
      <w:r w:rsidRPr="00677A8D">
        <w:rPr>
          <w:color w:val="000000"/>
        </w:rPr>
        <w:t>punkte nustatytų terminų, bet ne vėliau kaip iki Fondo veiklos pabaigos:</w:t>
      </w:r>
    </w:p>
    <w:p w14:paraId="36E5344C" w14:textId="77777777" w:rsidR="00A66D6C" w:rsidRPr="00677A8D" w:rsidRDefault="00A66D6C" w:rsidP="00A66D6C">
      <w:pPr>
        <w:pBdr>
          <w:top w:val="nil"/>
          <w:left w:val="nil"/>
          <w:bottom w:val="nil"/>
          <w:right w:val="nil"/>
          <w:between w:val="nil"/>
        </w:pBdr>
        <w:tabs>
          <w:tab w:val="left" w:pos="851"/>
        </w:tabs>
        <w:jc w:val="both"/>
        <w:rPr>
          <w:rFonts w:eastAsia="Arial"/>
          <w:color w:val="000000"/>
        </w:rPr>
      </w:pPr>
    </w:p>
    <w:p w14:paraId="1214277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skolos vertybiniai popieriai (prioriteto tvarka):</w:t>
      </w:r>
    </w:p>
    <w:p w14:paraId="2A3A001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E22CE6C"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 xml:space="preserve"> </w:t>
      </w:r>
      <w:r w:rsidRPr="00677A8D">
        <w:t>įtraukiami į biržos sąrašus ir/arba parduodami antrinėje rinkoje;</w:t>
      </w:r>
    </w:p>
    <w:p w14:paraId="6855CB11"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3E5C301B"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 xml:space="preserve"> parduodami kitiems asmenims;</w:t>
      </w:r>
    </w:p>
    <w:p w14:paraId="71AE48FB"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4632C8D5"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 xml:space="preserve"> išperkami emitento suėjus terminui.</w:t>
      </w:r>
    </w:p>
    <w:p w14:paraId="254F72C4" w14:textId="77777777" w:rsidR="00A66D6C" w:rsidRPr="00677A8D" w:rsidRDefault="00A66D6C" w:rsidP="00A66D6C">
      <w:pPr>
        <w:pBdr>
          <w:top w:val="nil"/>
          <w:left w:val="nil"/>
          <w:bottom w:val="nil"/>
          <w:right w:val="nil"/>
          <w:between w:val="nil"/>
        </w:pBdr>
        <w:ind w:left="720" w:hanging="360"/>
        <w:rPr>
          <w:rFonts w:eastAsia="Arial"/>
          <w:color w:val="000000"/>
        </w:rPr>
      </w:pPr>
    </w:p>
    <w:p w14:paraId="73F28571"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paskolos:</w:t>
      </w:r>
    </w:p>
    <w:p w14:paraId="39F641C1" w14:textId="77777777" w:rsidR="00A66D6C" w:rsidRPr="00677A8D" w:rsidRDefault="00A66D6C" w:rsidP="00A66D6C">
      <w:pPr>
        <w:jc w:val="both"/>
      </w:pPr>
    </w:p>
    <w:p w14:paraId="37454CC6"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gražinamos paskolą gavusio pagalbos gavėjo;</w:t>
      </w:r>
    </w:p>
    <w:p w14:paraId="789F2297" w14:textId="77777777" w:rsidR="00A66D6C" w:rsidRPr="00677A8D" w:rsidRDefault="00A66D6C" w:rsidP="00A66D6C">
      <w:pPr>
        <w:ind w:firstLine="720"/>
        <w:jc w:val="both"/>
      </w:pPr>
    </w:p>
    <w:p w14:paraId="0BFEF2D2"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kreditiniai įsipareigojimai parduodami kitiems asmenims.</w:t>
      </w:r>
    </w:p>
    <w:p w14:paraId="4EB60E6C" w14:textId="77777777" w:rsidR="00A66D6C" w:rsidRPr="00677A8D" w:rsidRDefault="00A66D6C" w:rsidP="00A66D6C">
      <w:pPr>
        <w:pBdr>
          <w:top w:val="nil"/>
          <w:left w:val="nil"/>
          <w:bottom w:val="nil"/>
          <w:right w:val="nil"/>
          <w:between w:val="nil"/>
        </w:pBdr>
        <w:tabs>
          <w:tab w:val="left" w:pos="851"/>
        </w:tabs>
        <w:jc w:val="both"/>
        <w:rPr>
          <w:rFonts w:eastAsia="Arial"/>
          <w:color w:val="000000"/>
        </w:rPr>
      </w:pPr>
    </w:p>
    <w:p w14:paraId="39541E8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nuosavybės vertybiniai popieriai (prioriteto tvarka):</w:t>
      </w:r>
    </w:p>
    <w:p w14:paraId="6B24CE7A" w14:textId="77777777" w:rsidR="00A66D6C" w:rsidRPr="00677A8D" w:rsidRDefault="00A66D6C" w:rsidP="00A66D6C">
      <w:pPr>
        <w:pBdr>
          <w:top w:val="nil"/>
          <w:left w:val="nil"/>
          <w:bottom w:val="nil"/>
          <w:right w:val="nil"/>
          <w:between w:val="nil"/>
        </w:pBdr>
        <w:tabs>
          <w:tab w:val="left" w:pos="1701"/>
        </w:tabs>
        <w:ind w:left="1440"/>
        <w:jc w:val="both"/>
        <w:rPr>
          <w:rFonts w:eastAsia="Arial"/>
          <w:color w:val="000000"/>
        </w:rPr>
      </w:pPr>
    </w:p>
    <w:p w14:paraId="7E12148E"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išperkami emitento ar esamų akcininkų;</w:t>
      </w:r>
    </w:p>
    <w:p w14:paraId="16AB7DB4" w14:textId="77777777" w:rsidR="00A66D6C" w:rsidRPr="00677A8D" w:rsidRDefault="00A66D6C" w:rsidP="00A66D6C">
      <w:pPr>
        <w:pBdr>
          <w:top w:val="nil"/>
          <w:left w:val="nil"/>
          <w:bottom w:val="nil"/>
          <w:right w:val="nil"/>
          <w:between w:val="nil"/>
        </w:pBdr>
        <w:tabs>
          <w:tab w:val="left" w:pos="1701"/>
        </w:tabs>
        <w:ind w:left="1637"/>
        <w:jc w:val="both"/>
        <w:rPr>
          <w:rFonts w:eastAsia="Arial"/>
          <w:color w:val="000000"/>
        </w:rPr>
      </w:pPr>
    </w:p>
    <w:p w14:paraId="4C022E71"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įtraukiami į biržos sąrašus ir parduodami antrinėje rinkoje;</w:t>
      </w:r>
    </w:p>
    <w:p w14:paraId="0ABC8CE8" w14:textId="77777777" w:rsidR="00A66D6C" w:rsidRPr="00677A8D" w:rsidRDefault="00A66D6C" w:rsidP="00A66D6C">
      <w:pPr>
        <w:pBdr>
          <w:top w:val="nil"/>
          <w:left w:val="nil"/>
          <w:bottom w:val="nil"/>
          <w:right w:val="nil"/>
          <w:between w:val="nil"/>
        </w:pBdr>
        <w:tabs>
          <w:tab w:val="left" w:pos="1701"/>
        </w:tabs>
        <w:jc w:val="both"/>
        <w:rPr>
          <w:rFonts w:eastAsia="Arial"/>
          <w:color w:val="000000"/>
        </w:rPr>
      </w:pPr>
    </w:p>
    <w:p w14:paraId="7E764A50"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parduodami kitiems asmenims.</w:t>
      </w:r>
    </w:p>
    <w:p w14:paraId="1B0DDB72" w14:textId="77777777" w:rsidR="00A66D6C" w:rsidRPr="00677A8D" w:rsidRDefault="00A66D6C" w:rsidP="00A66D6C">
      <w:pPr>
        <w:pBdr>
          <w:top w:val="nil"/>
          <w:left w:val="nil"/>
          <w:bottom w:val="nil"/>
          <w:right w:val="nil"/>
          <w:between w:val="nil"/>
        </w:pBdr>
        <w:ind w:left="720" w:hanging="360"/>
        <w:rPr>
          <w:rFonts w:eastAsia="Arial"/>
          <w:color w:val="000000"/>
        </w:rPr>
      </w:pPr>
    </w:p>
    <w:p w14:paraId="7DA86BF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Hibridinės priemonės yra likviduojamos atsižvelgiant į jų specifiką.</w:t>
      </w:r>
    </w:p>
    <w:p w14:paraId="4142F4D7" w14:textId="77777777" w:rsidR="00A66D6C" w:rsidRPr="00677A8D" w:rsidRDefault="00A66D6C" w:rsidP="00A66D6C">
      <w:pPr>
        <w:pBdr>
          <w:top w:val="nil"/>
          <w:left w:val="nil"/>
          <w:bottom w:val="nil"/>
          <w:right w:val="nil"/>
          <w:between w:val="nil"/>
        </w:pBdr>
        <w:tabs>
          <w:tab w:val="left" w:pos="1701"/>
        </w:tabs>
        <w:ind w:left="1701"/>
        <w:jc w:val="both"/>
      </w:pPr>
    </w:p>
    <w:p w14:paraId="40B7BDBD" w14:textId="77777777" w:rsidR="00A66D6C" w:rsidRPr="00677A8D" w:rsidRDefault="00A66D6C" w:rsidP="00030C29">
      <w:pPr>
        <w:numPr>
          <w:ilvl w:val="1"/>
          <w:numId w:val="10"/>
        </w:numPr>
        <w:pBdr>
          <w:top w:val="nil"/>
          <w:left w:val="nil"/>
          <w:bottom w:val="nil"/>
          <w:right w:val="nil"/>
          <w:between w:val="nil"/>
        </w:pBdr>
        <w:tabs>
          <w:tab w:val="left" w:pos="851"/>
          <w:tab w:val="left" w:pos="7755"/>
        </w:tabs>
        <w:ind w:left="851" w:hanging="851"/>
        <w:jc w:val="both"/>
        <w:rPr>
          <w:rFonts w:eastAsia="Arial"/>
          <w:color w:val="000000"/>
        </w:rPr>
      </w:pPr>
      <w:r w:rsidRPr="00677A8D">
        <w:rPr>
          <w:color w:val="000000"/>
        </w:rPr>
        <w:t xml:space="preserve">Jeigu praėjus 6 metams (didelės listinguojamos bendrovės atveju) arba 7 metams (kitos pagalbos gavėjos atveju) po Rekapitalizavimo Fondo intervencija nebuvo sumažinta iki mažiau kaip 15 % nuosavybės vertybinių popierių, Europos Komisijai pateikiamas restruktūrizavimo planas pagal Europos Komisijos patvirtintas </w:t>
      </w:r>
      <w:r w:rsidRPr="00677A8D">
        <w:t xml:space="preserve">Gaires. </w:t>
      </w:r>
    </w:p>
    <w:p w14:paraId="63F6C922" w14:textId="77777777" w:rsidR="00A66D6C" w:rsidRPr="00677A8D" w:rsidRDefault="00A66D6C" w:rsidP="00A66D6C">
      <w:pPr>
        <w:jc w:val="both"/>
        <w:rPr>
          <w:rFonts w:eastAsia="Arial"/>
        </w:rPr>
      </w:pPr>
    </w:p>
    <w:p w14:paraId="0D8F1684"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INVESTAVIMO RIZIKOS VALDYMAS</w:t>
      </w:r>
    </w:p>
    <w:p w14:paraId="455F6E6A" w14:textId="77777777" w:rsidR="00A66D6C" w:rsidRPr="00677A8D" w:rsidRDefault="00A66D6C" w:rsidP="00A66D6C">
      <w:pPr>
        <w:tabs>
          <w:tab w:val="left" w:pos="567"/>
        </w:tabs>
        <w:jc w:val="both"/>
        <w:rPr>
          <w:rFonts w:eastAsia="Arial"/>
          <w:u w:val="single"/>
        </w:rPr>
      </w:pPr>
    </w:p>
    <w:p w14:paraId="791BB5A4"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pPr>
      <w:r w:rsidRPr="00677A8D">
        <w:t>Vienai įmonei skirtų priemonių pagal pasirašytas finansavimo sutartis bendra likusi negrąžinta (neparduota) vertė negali būti didesnė nei 10 %  Fondo dalyvių įsipareigojimo investuoti į Fondą sumos. Išimtiniais atvejais, Fondo patariamajam komitetui patvirtinus, vienai įmonei skirtas finansavimas gali viršyti nustatytą ribą.</w:t>
      </w:r>
    </w:p>
    <w:p w14:paraId="37144C50" w14:textId="77777777" w:rsidR="00A66D6C" w:rsidRPr="00677A8D" w:rsidRDefault="00A66D6C" w:rsidP="00A66D6C">
      <w:pPr>
        <w:pBdr>
          <w:top w:val="nil"/>
          <w:left w:val="nil"/>
          <w:bottom w:val="nil"/>
          <w:right w:val="nil"/>
          <w:between w:val="nil"/>
        </w:pBdr>
        <w:tabs>
          <w:tab w:val="left" w:pos="851"/>
        </w:tabs>
        <w:jc w:val="both"/>
        <w:rPr>
          <w:rFonts w:eastAsia="Arial"/>
        </w:rPr>
      </w:pPr>
    </w:p>
    <w:p w14:paraId="20C07D18"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Fondas, vertindamas paraiškas, taikys orientacinę reitingavimo sistemą, paremtą šia informacija:</w:t>
      </w:r>
    </w:p>
    <w:p w14:paraId="138BC801"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7484905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įmonės galimybė tęsti veiklą ir būti pelninga ilgalaikėje perspektyvoje;</w:t>
      </w:r>
    </w:p>
    <w:p w14:paraId="1CA38DB1" w14:textId="77777777" w:rsidR="00A66D6C" w:rsidRPr="00677A8D" w:rsidRDefault="00A66D6C" w:rsidP="00A66D6C">
      <w:pPr>
        <w:pBdr>
          <w:top w:val="nil"/>
          <w:left w:val="nil"/>
          <w:bottom w:val="nil"/>
          <w:right w:val="nil"/>
          <w:between w:val="nil"/>
        </w:pBdr>
        <w:tabs>
          <w:tab w:val="left" w:pos="1701"/>
        </w:tabs>
        <w:ind w:left="720"/>
        <w:jc w:val="both"/>
      </w:pPr>
    </w:p>
    <w:p w14:paraId="497F7879"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įmonės finansinė padėtis ir įsipareigojimai (taikant tokius rodiklius kaip skolos ir EBITDA santykis, EBITDA palūkanų padengimo koeficientas ir t. t.);</w:t>
      </w:r>
    </w:p>
    <w:p w14:paraId="3A3D8423" w14:textId="77777777" w:rsidR="00A66D6C" w:rsidRPr="00677A8D" w:rsidRDefault="00A66D6C" w:rsidP="00A66D6C">
      <w:pPr>
        <w:pBdr>
          <w:top w:val="nil"/>
          <w:left w:val="nil"/>
          <w:bottom w:val="nil"/>
          <w:right w:val="nil"/>
          <w:between w:val="nil"/>
        </w:pBdr>
        <w:tabs>
          <w:tab w:val="left" w:pos="1701"/>
        </w:tabs>
        <w:ind w:left="720"/>
        <w:jc w:val="both"/>
      </w:pPr>
    </w:p>
    <w:p w14:paraId="650305C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įmonės turtui pritaikyti suvaržymai ir apribojimai;</w:t>
      </w:r>
    </w:p>
    <w:p w14:paraId="4002C0E6" w14:textId="77777777" w:rsidR="00A66D6C" w:rsidRPr="00677A8D" w:rsidRDefault="00A66D6C" w:rsidP="00A66D6C">
      <w:pPr>
        <w:pBdr>
          <w:top w:val="nil"/>
          <w:left w:val="nil"/>
          <w:bottom w:val="nil"/>
          <w:right w:val="nil"/>
          <w:between w:val="nil"/>
        </w:pBdr>
        <w:tabs>
          <w:tab w:val="left" w:pos="1701"/>
        </w:tabs>
        <w:ind w:left="720"/>
        <w:jc w:val="both"/>
      </w:pPr>
    </w:p>
    <w:p w14:paraId="44AF0435"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kiti kriterijai, galintys turėti reikšmingą įtaką sprendimui dėl įmonės finansavimo.</w:t>
      </w:r>
    </w:p>
    <w:p w14:paraId="09413821" w14:textId="77777777" w:rsidR="00A66D6C" w:rsidRPr="00677A8D" w:rsidRDefault="00A66D6C" w:rsidP="00A66D6C">
      <w:pPr>
        <w:pBdr>
          <w:top w:val="nil"/>
          <w:left w:val="nil"/>
          <w:bottom w:val="nil"/>
          <w:right w:val="nil"/>
          <w:between w:val="nil"/>
        </w:pBdr>
        <w:ind w:left="1440" w:hanging="360"/>
        <w:rPr>
          <w:rFonts w:eastAsia="Arial"/>
          <w:color w:val="000000"/>
        </w:rPr>
      </w:pPr>
    </w:p>
    <w:p w14:paraId="2612F96B"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Paskolos suteikimo ir investavimo į skolos vertybinius popierius ir Hibridines priemones atveju gali būti taikomas užtikrinimo priemonių reikalavimas.</w:t>
      </w:r>
    </w:p>
    <w:p w14:paraId="40F756E3" w14:textId="77777777" w:rsidR="00A66D6C" w:rsidRPr="00677A8D" w:rsidRDefault="00A66D6C" w:rsidP="00A66D6C">
      <w:pPr>
        <w:pBdr>
          <w:top w:val="nil"/>
          <w:left w:val="nil"/>
          <w:bottom w:val="nil"/>
          <w:right w:val="nil"/>
          <w:between w:val="nil"/>
        </w:pBdr>
        <w:ind w:left="1440" w:hanging="360"/>
        <w:rPr>
          <w:rFonts w:eastAsia="Arial"/>
          <w:color w:val="000000"/>
        </w:rPr>
      </w:pPr>
    </w:p>
    <w:p w14:paraId="6BCD1436"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Papildomi kriterijai, numatomi sutartyse su įmonėmis Rekapitalizavimo atveju:</w:t>
      </w:r>
    </w:p>
    <w:p w14:paraId="358D3BFA" w14:textId="77777777" w:rsidR="00A66D6C" w:rsidRPr="00677A8D" w:rsidRDefault="00A66D6C" w:rsidP="00A66D6C">
      <w:pPr>
        <w:pBdr>
          <w:top w:val="nil"/>
          <w:left w:val="nil"/>
          <w:bottom w:val="nil"/>
          <w:right w:val="nil"/>
          <w:between w:val="nil"/>
        </w:pBdr>
        <w:tabs>
          <w:tab w:val="left" w:pos="1701"/>
        </w:tabs>
        <w:jc w:val="both"/>
        <w:rPr>
          <w:rFonts w:eastAsia="Arial"/>
          <w:color w:val="000000"/>
        </w:rPr>
      </w:pPr>
    </w:p>
    <w:p w14:paraId="0642B014"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pagalbos gavėjams draudžiama gautas investicijas reklamuoti komerciniais tikslais;</w:t>
      </w:r>
    </w:p>
    <w:p w14:paraId="4769A2F7" w14:textId="77777777" w:rsidR="00A66D6C" w:rsidRPr="00677A8D" w:rsidRDefault="00A66D6C" w:rsidP="00A66D6C">
      <w:pPr>
        <w:pStyle w:val="ListParagraph"/>
        <w:ind w:left="360"/>
        <w:rPr>
          <w:sz w:val="24"/>
        </w:rPr>
      </w:pPr>
    </w:p>
    <w:p w14:paraId="3A9DC44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pagalbos gavėjams (išskyrus vidutines įmones) taip pat neleidžiama įsigyti didesnės kaip 10 % konkurentų ar kitų tos pačios rūšies veiklos vykdytojų, įskaitant pradinės grandies ir galutinės grandies veiklos vykdytojus, verslo dalies, kol nebus grąžinta 75 % Fondo investicijos sumos. Išskirtinėmis aplinkybėmis ir nedarant poveikio susijungimų kontrolei, tokie pagalbos gavėjai gali įsigyti didesnę kaip 10 % pradinės ar galutinės grandies veiklos vykdytojų savo veiklos teritorijoje (ar konkurentų) verslo dalį tik tuo atveju, jei įsigijimas yra būtinas pagalbos gavėjo gyvybingumui išlaikyti. Tam būtinas Europos Komisijos sutikimas;</w:t>
      </w:r>
    </w:p>
    <w:p w14:paraId="5180D7BA" w14:textId="77777777" w:rsidR="00A66D6C" w:rsidRPr="00677A8D" w:rsidRDefault="00A66D6C" w:rsidP="00A66D6C">
      <w:pPr>
        <w:tabs>
          <w:tab w:val="left" w:pos="1701"/>
        </w:tabs>
        <w:ind w:left="720"/>
        <w:jc w:val="both"/>
      </w:pPr>
    </w:p>
    <w:p w14:paraId="56E0C9E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kol konkretaus pagalbos gavėjo nuosavybės vertybiniai popieriai nėra visiškai išpirkti pagalbos gavėjos akcininkų ar nėra įvykdyti skoliniai įsipareigojimai Fondui, pagalbos gavėjas negali mokėti dividendų, nei neprivalomų atkarpų mokėjimų, nei išpirkti akcijas, išskyrus valdomas Fondo. Investicijos negali būti naudojamos premijoms, kitiems akcininkų ar darbuotojų skatinimo mokėjimams padengti;</w:t>
      </w:r>
    </w:p>
    <w:p w14:paraId="08AF23ED" w14:textId="77777777" w:rsidR="00A66D6C" w:rsidRPr="00677A8D" w:rsidRDefault="00A66D6C" w:rsidP="00A66D6C">
      <w:pPr>
        <w:tabs>
          <w:tab w:val="left" w:pos="1701"/>
        </w:tabs>
        <w:ind w:left="720"/>
        <w:jc w:val="both"/>
      </w:pPr>
    </w:p>
    <w:p w14:paraId="4201EF9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jei kuris nors pagalbos gavėjas kreiptųsi dėl Rekapitalizavimo, viršijančio 250 mln. Eur, bus pradėtas atskiras valstybės pagalbos pranešimo procesas;</w:t>
      </w:r>
    </w:p>
    <w:p w14:paraId="5F528D43" w14:textId="77777777" w:rsidR="00A66D6C" w:rsidRPr="00677A8D" w:rsidRDefault="00A66D6C" w:rsidP="00A66D6C">
      <w:pPr>
        <w:tabs>
          <w:tab w:val="left" w:pos="1701"/>
        </w:tabs>
        <w:ind w:left="720"/>
        <w:jc w:val="both"/>
      </w:pPr>
    </w:p>
    <w:p w14:paraId="7D022FC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tol, kol neišpirkta ne mažiau kaip 75 % iš Fondo Rekapitalizavimo metu įgytų nuosavybės vertybinių popierių/įvykdyta skolinių įsipareigojimų Fondui, kiekvieno pagalbos gavėjo vadovaujančias pareigas užimančių asmenų atlygis neturi viršyti jo atlygio fiksuotos dalies dydžio 2019 m. gruodžio 31 d. Asmenims, kurie užima vadovaujančias pareigas Rekapitalizavimo metu arba po jo, taikoma riba yra mažiausias bet kurio iš vadovaujančias pareigas užimančių asmenų atlygio fiksuotos dalies dydis 2019 m. gruodžio 31 d. Jokiomis aplinkybėmis nemokamos premijos, kiti kintamieji ar palyginami atlygio elementai;</w:t>
      </w:r>
    </w:p>
    <w:p w14:paraId="57EF1F4F" w14:textId="77777777" w:rsidR="00A66D6C" w:rsidRPr="00677A8D" w:rsidRDefault="00A66D6C" w:rsidP="00A66D6C">
      <w:pPr>
        <w:pBdr>
          <w:top w:val="nil"/>
          <w:left w:val="nil"/>
          <w:bottom w:val="nil"/>
          <w:right w:val="nil"/>
          <w:between w:val="nil"/>
        </w:pBdr>
        <w:tabs>
          <w:tab w:val="left" w:pos="1701"/>
        </w:tabs>
        <w:ind w:left="1701"/>
        <w:jc w:val="both"/>
        <w:rPr>
          <w:rFonts w:eastAsia="Arial"/>
        </w:rPr>
      </w:pPr>
    </w:p>
    <w:p w14:paraId="0B910107"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pPr>
      <w:r w:rsidRPr="00677A8D">
        <w:t>pagalbos gavėjams draudžiama gautas investicijas naudoti kitų grupės  įmonių, kurios 2019 m. gruodžio 31 d. patyrė ekonominių sunkumų, ekonominės veiklos kryžminiam subsidijavimui. Grupės įmonių apskaita turi tą atspindėti;</w:t>
      </w:r>
    </w:p>
    <w:p w14:paraId="54E12F86" w14:textId="77777777" w:rsidR="00A66D6C" w:rsidRPr="00677A8D" w:rsidRDefault="00A66D6C" w:rsidP="00A66D6C">
      <w:pPr>
        <w:pBdr>
          <w:top w:val="nil"/>
          <w:left w:val="nil"/>
          <w:bottom w:val="nil"/>
          <w:right w:val="nil"/>
          <w:between w:val="nil"/>
        </w:pBdr>
        <w:tabs>
          <w:tab w:val="left" w:pos="1701"/>
        </w:tabs>
        <w:ind w:left="1701"/>
        <w:jc w:val="both"/>
        <w:rPr>
          <w:rFonts w:eastAsia="Arial"/>
        </w:rPr>
      </w:pPr>
    </w:p>
    <w:p w14:paraId="5DE91A8B"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siekiant užkirsti kelią konkurencijos iškraipymui, pagalbos gavėjas neturi vykdyti agresyvios komercinės plėtros, finansuojamos valstybės pagalbos lėšomis, arba pagalbos gavėjas neturi prisiimti pernelyg didelės rizikos.</w:t>
      </w:r>
    </w:p>
    <w:p w14:paraId="52AC31CB" w14:textId="77777777" w:rsidR="00A66D6C" w:rsidRPr="00677A8D" w:rsidRDefault="00A66D6C" w:rsidP="00A66D6C">
      <w:pPr>
        <w:pBdr>
          <w:top w:val="nil"/>
          <w:left w:val="nil"/>
          <w:bottom w:val="nil"/>
          <w:right w:val="nil"/>
          <w:between w:val="nil"/>
        </w:pBdr>
        <w:tabs>
          <w:tab w:val="left" w:pos="1701"/>
        </w:tabs>
        <w:ind w:left="1701"/>
        <w:jc w:val="both"/>
        <w:rPr>
          <w:rFonts w:eastAsia="Arial"/>
        </w:rPr>
      </w:pPr>
    </w:p>
    <w:p w14:paraId="32FF16C8" w14:textId="77777777" w:rsidR="00A66D6C" w:rsidRPr="00677A8D" w:rsidRDefault="00A66D6C" w:rsidP="00030C29">
      <w:pPr>
        <w:pStyle w:val="ListParagraph"/>
        <w:numPr>
          <w:ilvl w:val="0"/>
          <w:numId w:val="10"/>
        </w:numPr>
        <w:contextualSpacing w:val="0"/>
        <w:rPr>
          <w:rFonts w:eastAsia="Arial"/>
          <w:sz w:val="24"/>
        </w:rPr>
      </w:pPr>
      <w:r w:rsidRPr="00677A8D">
        <w:rPr>
          <w:sz w:val="24"/>
        </w:rPr>
        <w:t>Kitos sąlygos, numatomos Fondo sutartyse su Pagalbos gavėjais:</w:t>
      </w:r>
    </w:p>
    <w:p w14:paraId="7F19CEEB" w14:textId="77777777" w:rsidR="00A66D6C" w:rsidRPr="00677A8D" w:rsidRDefault="00A66D6C" w:rsidP="00A66D6C">
      <w:pPr>
        <w:pStyle w:val="ListParagraph"/>
        <w:ind w:left="928"/>
        <w:rPr>
          <w:rFonts w:eastAsia="Arial"/>
          <w:sz w:val="24"/>
        </w:rPr>
      </w:pPr>
    </w:p>
    <w:p w14:paraId="1C240C87"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sąlygos, kada išmokama dalis lėšų pagal investavimo sutartį su įmone;</w:t>
      </w:r>
    </w:p>
    <w:p w14:paraId="2E0153F6"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3FED1B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numatomi veiksmai, kuriems reikalingas Fondo sutikimas (pvz., finansinių įsipareigojimų iš kitų šaltinių didinimas, įmonės pertvarkymas, reorganizavimas, likvidavimas);</w:t>
      </w:r>
    </w:p>
    <w:p w14:paraId="61BF5E85"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59A11C0"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numatomi finansiniai rodikliai, kuriuos įmonė privalo atitikti investicijų galiojimo metu;</w:t>
      </w:r>
    </w:p>
    <w:p w14:paraId="02A7A8C7"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75028C5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numatomos užtikrinimo priemonės, kurias turi pateikti įmonė, jos akcininkai ir grupės įmonės, bei draudimo sutartys, kurias įmonė turi būti sudariusi investicijų galiojimo metu;</w:t>
      </w:r>
      <w:r w:rsidRPr="00677A8D">
        <w:rPr>
          <w:color w:val="000000"/>
        </w:rPr>
        <w:t xml:space="preserve"> </w:t>
      </w:r>
    </w:p>
    <w:p w14:paraId="7DCEF2B2"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074188A2"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bookmarkStart w:id="5" w:name="_heading=h.8nsd3msn7z0o"/>
      <w:bookmarkEnd w:id="5"/>
      <w:r w:rsidRPr="00677A8D">
        <w:rPr>
          <w:color w:val="000000"/>
        </w:rPr>
        <w:t>tais atvejais, kai įmonė turi kitų finansinių kreditorių, kurių reikalavimai yra užtikrinti įmonės turtu, įmonė, kreipdamasi į Fondą dėl investicijų, turi pateikti preliminarią šių kreditorių nuomonę, kad jie neprieštarauja papildomam Fondo investavimui. Fondas turi teisę su šiais kreditoriais sudaryti kreditorių sutartis, kuriose nustatomas įmonės mokėjimo kreditoriams eiliškumas ir kitos sąlygos (pvz., draudimas vienašališkai nutraukti finansavimo sutartį ir pareikalauti grąžinti sumas kreditoriams). Kol ši sutartis nėra sudaryta, Fondas turi teisę išmokėti tik dalį lėšų pagal konkretaus investavimo objekto sutartį, kitą dalį sumokant po sutarties su kreditoriais sudarymo ir atitinkamų užtikrinimo priemonių suteikimo Fondui;</w:t>
      </w:r>
    </w:p>
    <w:p w14:paraId="78236CF7"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bookmarkStart w:id="6" w:name="_heading=h.kgru69npxxya"/>
      <w:bookmarkEnd w:id="6"/>
    </w:p>
    <w:p w14:paraId="02182FD4"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Fondo turtas investuojamas į nuosavybės vertybinius popierius investavimo sutartyje numatant teisę Fondui dalyvauti įmonės valdyme skiriant organų narius, numatant veto teisę tam įmonės sprendimams, kurie gali būti nesuderinami su poreikiu užtikrinti įmonės išlikimą ilguoju laikotarpiu.</w:t>
      </w:r>
      <w:r w:rsidRPr="00677A8D">
        <w:rPr>
          <w:color w:val="000000"/>
        </w:rPr>
        <w:t xml:space="preserve"> Fondas turi teisę reikalauti atitinkamai pakeisti įmonės įstatus ir kitus steigimo dokumentus bei su įmonės akcininkais sudaryti akcininkų sutartis. Kol akcininkų sutartis nėra sudaryta, Fondas turi teisę išmokėti tik dalį lėšų pagal konkrečią investavimo sutartį, kitą dalį sumokant po akcininkų sutarties sudarymo;</w:t>
      </w:r>
    </w:p>
    <w:p w14:paraId="74EF814C" w14:textId="77777777" w:rsidR="00A66D6C" w:rsidRPr="00677A8D" w:rsidRDefault="00A66D6C" w:rsidP="00A66D6C">
      <w:pPr>
        <w:pBdr>
          <w:top w:val="nil"/>
          <w:left w:val="nil"/>
          <w:bottom w:val="nil"/>
          <w:right w:val="nil"/>
          <w:between w:val="nil"/>
        </w:pBdr>
        <w:tabs>
          <w:tab w:val="left" w:pos="1701"/>
        </w:tabs>
        <w:jc w:val="both"/>
        <w:rPr>
          <w:rFonts w:eastAsia="Arial"/>
        </w:rPr>
      </w:pPr>
    </w:p>
    <w:p w14:paraId="2340440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rPr>
          <w:color w:val="000000"/>
        </w:rPr>
        <w:t>įmonės pareigos teikti informaciją Fondui (pvz., investicijų panaudojimas, finansinės ataskaitos)</w:t>
      </w:r>
      <w:r w:rsidR="002730DB" w:rsidRPr="00677A8D">
        <w:rPr>
          <w:color w:val="000000"/>
        </w:rPr>
        <w:t>, Fondas tur</w:t>
      </w:r>
      <w:r w:rsidR="002730DB" w:rsidRPr="00677A8D">
        <w:rPr>
          <w:color w:val="000000"/>
          <w:lang w:val="lt-LT"/>
        </w:rPr>
        <w:t>ės teisę tokią informaciją pateikti Komanditoriams</w:t>
      </w:r>
      <w:r w:rsidRPr="00677A8D">
        <w:rPr>
          <w:color w:val="000000"/>
        </w:rPr>
        <w:t>;</w:t>
      </w:r>
    </w:p>
    <w:p w14:paraId="737EEEC0" w14:textId="77777777" w:rsidR="00A66D6C" w:rsidRPr="00677A8D" w:rsidRDefault="00A66D6C" w:rsidP="00A66D6C">
      <w:pPr>
        <w:pBdr>
          <w:top w:val="nil"/>
          <w:left w:val="nil"/>
          <w:bottom w:val="nil"/>
          <w:right w:val="nil"/>
          <w:between w:val="nil"/>
        </w:pBdr>
        <w:tabs>
          <w:tab w:val="left" w:pos="1701"/>
        </w:tabs>
        <w:ind w:left="1701"/>
        <w:jc w:val="both"/>
        <w:rPr>
          <w:rFonts w:eastAsia="Arial"/>
          <w:color w:val="000000"/>
        </w:rPr>
      </w:pPr>
    </w:p>
    <w:p w14:paraId="679A21A6"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color w:val="000000"/>
        </w:rPr>
      </w:pPr>
      <w:r w:rsidRPr="00677A8D">
        <w:t>sąlygos, kada Fondas turi teisę nutraukti sutartį ir pareikalauti grąžinti išmokėtas sumas, palūkanas ir delspinigius.</w:t>
      </w:r>
    </w:p>
    <w:p w14:paraId="1F09DEB5" w14:textId="77777777" w:rsidR="00A66D6C" w:rsidRPr="00677A8D" w:rsidRDefault="00A66D6C" w:rsidP="00A66D6C">
      <w:pPr>
        <w:pBdr>
          <w:top w:val="nil"/>
          <w:left w:val="nil"/>
          <w:bottom w:val="nil"/>
          <w:right w:val="nil"/>
          <w:between w:val="nil"/>
        </w:pBdr>
        <w:tabs>
          <w:tab w:val="left" w:pos="1701"/>
        </w:tabs>
        <w:ind w:left="1440"/>
        <w:jc w:val="both"/>
        <w:rPr>
          <w:rFonts w:eastAsia="Arial"/>
        </w:rPr>
      </w:pPr>
    </w:p>
    <w:p w14:paraId="58B193D4" w14:textId="77777777" w:rsidR="00A66D6C" w:rsidRPr="00677A8D" w:rsidRDefault="00A66D6C" w:rsidP="00030C29">
      <w:pPr>
        <w:numPr>
          <w:ilvl w:val="0"/>
          <w:numId w:val="10"/>
        </w:numPr>
        <w:pBdr>
          <w:top w:val="nil"/>
          <w:left w:val="nil"/>
          <w:bottom w:val="nil"/>
          <w:right w:val="nil"/>
          <w:between w:val="nil"/>
        </w:pBdr>
        <w:tabs>
          <w:tab w:val="left" w:pos="851"/>
        </w:tabs>
        <w:ind w:left="851" w:hanging="851"/>
        <w:jc w:val="both"/>
        <w:rPr>
          <w:rFonts w:eastAsia="Arial"/>
          <w:b/>
          <w:smallCaps/>
          <w:color w:val="000000"/>
        </w:rPr>
      </w:pPr>
      <w:r w:rsidRPr="00677A8D">
        <w:rPr>
          <w:b/>
          <w:smallCaps/>
          <w:color w:val="000000"/>
        </w:rPr>
        <w:t>PRIVAČIOJO KAPITALO DALYVAVIMAS</w:t>
      </w:r>
    </w:p>
    <w:p w14:paraId="2F811032"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05572263"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 xml:space="preserve">Fondo dalyviais (komanditoriais) gali būti tik nacionalinio saugumo interesus atitinkantys nepriekaištingos reputacijos instituciniai investuotojai. </w:t>
      </w:r>
    </w:p>
    <w:p w14:paraId="7ACEE9BB"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6EE9ACDB"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themeColor="text1"/>
        </w:rPr>
        <w:t>Investuotojai atrenkami Tikrojo nario laikantis viešumo, skaidrumo ir nediskriminavimo principų. Jų skaičius nėra ribojamas.</w:t>
      </w:r>
    </w:p>
    <w:p w14:paraId="15994C91" w14:textId="77777777" w:rsidR="00A66D6C" w:rsidRPr="00677A8D" w:rsidRDefault="00A66D6C" w:rsidP="00A66D6C">
      <w:pPr>
        <w:pStyle w:val="ListParagraph"/>
        <w:ind w:left="360"/>
        <w:rPr>
          <w:rFonts w:eastAsia="Arial"/>
          <w:color w:val="000000"/>
        </w:rPr>
      </w:pPr>
    </w:p>
    <w:p w14:paraId="351B05A8"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t xml:space="preserve">Fondo iš investicijų gautos lėšos ir pelnas paskirstomi pagal šią eilę </w:t>
      </w:r>
      <w:r w:rsidRPr="00677A8D">
        <w:rPr>
          <w:color w:val="000000"/>
        </w:rPr>
        <w:t xml:space="preserve">(angl. </w:t>
      </w:r>
      <w:r w:rsidRPr="00677A8D">
        <w:rPr>
          <w:i/>
          <w:color w:val="000000"/>
        </w:rPr>
        <w:t>distribution waterfall)</w:t>
      </w:r>
      <w:r w:rsidRPr="00677A8D">
        <w:rPr>
          <w:color w:val="000000"/>
        </w:rPr>
        <w:t>:</w:t>
      </w:r>
    </w:p>
    <w:p w14:paraId="68B4D399" w14:textId="77777777" w:rsidR="00A66D6C" w:rsidRPr="00677A8D" w:rsidRDefault="00A66D6C" w:rsidP="00A66D6C">
      <w:pPr>
        <w:pStyle w:val="ListParagraph"/>
        <w:ind w:left="360"/>
        <w:rPr>
          <w:rFonts w:eastAsia="Arial"/>
          <w:color w:val="000000"/>
          <w:sz w:val="24"/>
        </w:rPr>
      </w:pPr>
    </w:p>
    <w:p w14:paraId="7C267F0D"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Fondo tikrojo nario valdymo mokestis;</w:t>
      </w:r>
    </w:p>
    <w:p w14:paraId="6BE51A32" w14:textId="77777777" w:rsidR="00A66D6C" w:rsidRPr="00677A8D" w:rsidRDefault="00A66D6C" w:rsidP="00A66D6C">
      <w:pPr>
        <w:pBdr>
          <w:top w:val="nil"/>
          <w:left w:val="nil"/>
          <w:bottom w:val="nil"/>
          <w:right w:val="nil"/>
          <w:between w:val="nil"/>
        </w:pBdr>
        <w:tabs>
          <w:tab w:val="left" w:pos="1701"/>
        </w:tabs>
        <w:ind w:left="1701"/>
        <w:jc w:val="both"/>
        <w:rPr>
          <w:rFonts w:eastAsia="Arial"/>
        </w:rPr>
      </w:pPr>
    </w:p>
    <w:p w14:paraId="4F2ACF66"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 xml:space="preserve">komanditoriams grąžinama proporcingai jų investicijoms tol, kol bendra paskirstytoji suma yra lygi investuotam pradiniam kapitalui su minimalaus pelningumo koeficiento (angl. </w:t>
      </w:r>
      <w:r w:rsidRPr="00677A8D">
        <w:rPr>
          <w:i/>
        </w:rPr>
        <w:t>hurdle rate</w:t>
      </w:r>
      <w:r w:rsidRPr="00677A8D">
        <w:t>) grąža), išskyrus</w:t>
      </w:r>
      <w:r w:rsidR="00A66CF1" w:rsidRPr="00677A8D">
        <w:t xml:space="preserve"> Komanditoriui</w:t>
      </w:r>
      <w:r w:rsidRPr="00677A8D">
        <w:t xml:space="preserve"> negrąžinamą privačių ir papildomų valstybės investicijų procentinę dalį (</w:t>
      </w:r>
      <w:r w:rsidRPr="00677A8D">
        <w:rPr>
          <w:i/>
        </w:rPr>
        <w:t>p</w:t>
      </w:r>
      <w:r w:rsidRPr="00677A8D">
        <w:t>)</w:t>
      </w:r>
      <w:r w:rsidR="00701DDD" w:rsidRPr="00677A8D">
        <w:t>, kuri nustatoma su Komanditoriaus sutikimu</w:t>
      </w:r>
      <w:r w:rsidRPr="00677A8D">
        <w:t xml:space="preserve">. Minimalus pelningumo koeficientas apskaičiuojamas pagal ICE BOFA BB euro didelio pajamingumo obligacijų indeksą (HE10) galiojantį tuo metu, kai komanditorius investuoja į Fondą. </w:t>
      </w:r>
    </w:p>
    <w:p w14:paraId="386350CD" w14:textId="77777777" w:rsidR="00A66D6C" w:rsidRPr="00677A8D" w:rsidRDefault="00A66D6C" w:rsidP="00A66D6C">
      <w:pPr>
        <w:pStyle w:val="ListParagraph"/>
        <w:ind w:left="360"/>
      </w:pPr>
    </w:p>
    <w:p w14:paraId="551F8CA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 xml:space="preserve">Komanditoriui, kurio akcijos priklauso valstybei, grąžinama visų komanditorių investicijų dalis </w:t>
      </w:r>
      <w:r w:rsidRPr="00677A8D">
        <w:rPr>
          <w:i/>
        </w:rPr>
        <w:t>Z</w:t>
      </w:r>
      <w:r w:rsidRPr="00677A8D">
        <w:t xml:space="preserve">, pridėjus minimalaus pelningumo koeficientą. </w:t>
      </w:r>
      <w:r w:rsidRPr="00677A8D">
        <w:rPr>
          <w:i/>
        </w:rPr>
        <w:t>Z</w:t>
      </w:r>
      <w:r w:rsidRPr="00677A8D">
        <w:t xml:space="preserve"> dalis apskaičiuojama pagal formulę </w:t>
      </w:r>
      <w:r w:rsidRPr="00677A8D">
        <w:rPr>
          <w:i/>
        </w:rPr>
        <w:t>Z</w:t>
      </w:r>
      <w:r w:rsidRPr="00677A8D">
        <w:t xml:space="preserve"> = p / (1 + p) (pavyzdžiui, jei </w:t>
      </w:r>
      <w:r w:rsidRPr="00677A8D">
        <w:rPr>
          <w:i/>
        </w:rPr>
        <w:t>p</w:t>
      </w:r>
      <w:r w:rsidRPr="00677A8D">
        <w:t xml:space="preserve"> = 20 proc., tai </w:t>
      </w:r>
      <w:r w:rsidRPr="00677A8D">
        <w:rPr>
          <w:i/>
        </w:rPr>
        <w:t>Z</w:t>
      </w:r>
      <w:r w:rsidRPr="00677A8D">
        <w:t xml:space="preserve"> = 1/6 visų komanditorių investicijų); </w:t>
      </w:r>
    </w:p>
    <w:p w14:paraId="3663EE1C" w14:textId="77777777" w:rsidR="00A66D6C" w:rsidRPr="00677A8D" w:rsidRDefault="00A66D6C" w:rsidP="00C15D52">
      <w:pPr>
        <w:pStyle w:val="ListParagraph"/>
        <w:ind w:left="360"/>
        <w:rPr>
          <w:rFonts w:eastAsia="Arial"/>
          <w:sz w:val="24"/>
        </w:rPr>
      </w:pPr>
    </w:p>
    <w:p w14:paraId="32B28349"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rPr>
          <w:rFonts w:eastAsia="Arial"/>
        </w:rPr>
        <w:t>jei Fondo investicija yra atliekama tik komanditoriaus, kurio akcijos nuosavybės teise priklauso valstybei, lėšomis, šiam komanditoriui išmokamas investuotas kapitalas ir minimalus pelningumo koeficiento grąža;</w:t>
      </w:r>
    </w:p>
    <w:p w14:paraId="05635C91" w14:textId="77777777" w:rsidR="00A66D6C" w:rsidRPr="00677A8D" w:rsidRDefault="00A66D6C" w:rsidP="00A66D6C">
      <w:pPr>
        <w:pBdr>
          <w:top w:val="nil"/>
          <w:left w:val="nil"/>
          <w:bottom w:val="nil"/>
          <w:right w:val="nil"/>
          <w:between w:val="nil"/>
        </w:pBdr>
        <w:tabs>
          <w:tab w:val="left" w:pos="851"/>
        </w:tabs>
        <w:jc w:val="both"/>
      </w:pPr>
    </w:p>
    <w:p w14:paraId="4FE2E05F"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bet kokia perteklinė grąža, viršijanti minimalaus pelningumo koeficientą, padalijama Fondo valdytojui ir Fondo dalyviams (įskaitant komanditorių, kurio akcijos priklauso valstybei</w:t>
      </w:r>
      <w:r w:rsidR="00F8504C" w:rsidRPr="00677A8D">
        <w:t>, net jei jis yra vienintelis komanditorius</w:t>
      </w:r>
      <w:r w:rsidRPr="00677A8D">
        <w:t xml:space="preserve">). Fondo valdytojas su šiuo mokėjimu, šalia valdymo mokesčio papildomai gauna išskirtines teises į 10% dydžio į perteklinės grąžos dalį (angl. </w:t>
      </w:r>
      <w:r w:rsidRPr="00677A8D">
        <w:rPr>
          <w:i/>
        </w:rPr>
        <w:t>carried interest</w:t>
      </w:r>
      <w:r w:rsidRPr="00677A8D">
        <w:t xml:space="preserve">), jei Fondo veiklos galutinis rezultatas (skaičiuojant bendrą rezultatą dalinant iš Fondo veiklos metų skaičiaus, angl. </w:t>
      </w:r>
      <w:r w:rsidRPr="00677A8D">
        <w:rPr>
          <w:i/>
        </w:rPr>
        <w:t>annualised rate of return</w:t>
      </w:r>
      <w:r w:rsidRPr="00677A8D">
        <w:t>),  po visų investicijų realizavimo yra didesnis nei 0 % (pvz., jei Fondas gauna didesnę nei 4 % grąžą, kai minimalaus pelningumo koeficientas yra 4 %), ir 20 % dydžio į perteklinės grąžos dalį, jei metinis Fondo veiklos rezultatas yra didesnis nei 25 % (pvz., jei Fondas gali gauti didesnę nei 5 % grąžą, kai minimalaus pelningumo koeficientas yra 4 %). Fondo dalyviai pasidalija perteklinę grąžą proporcingai investuotam kapitalui.</w:t>
      </w:r>
    </w:p>
    <w:p w14:paraId="4DC6711B" w14:textId="77777777" w:rsidR="00A66D6C" w:rsidRPr="00677A8D" w:rsidRDefault="00A66D6C" w:rsidP="00A66D6C">
      <w:pPr>
        <w:pStyle w:val="ListParagraph"/>
        <w:ind w:left="360"/>
        <w:rPr>
          <w:rFonts w:eastAsia="Arial"/>
        </w:rPr>
      </w:pPr>
    </w:p>
    <w:p w14:paraId="50EDF56B" w14:textId="77777777" w:rsidR="00A66D6C" w:rsidRPr="00677A8D" w:rsidRDefault="00A66D6C" w:rsidP="00030C29">
      <w:pPr>
        <w:numPr>
          <w:ilvl w:val="1"/>
          <w:numId w:val="10"/>
        </w:numPr>
        <w:pBdr>
          <w:top w:val="nil"/>
          <w:left w:val="nil"/>
          <w:bottom w:val="nil"/>
          <w:right w:val="nil"/>
          <w:between w:val="nil"/>
        </w:pBdr>
        <w:tabs>
          <w:tab w:val="left" w:pos="851"/>
        </w:tabs>
        <w:ind w:left="851" w:hanging="851"/>
        <w:jc w:val="both"/>
        <w:rPr>
          <w:rFonts w:eastAsia="Arial"/>
          <w:color w:val="000000"/>
        </w:rPr>
      </w:pPr>
      <w:r w:rsidRPr="00677A8D">
        <w:rPr>
          <w:color w:val="000000"/>
        </w:rPr>
        <w:t>Fondo valdytojas turi teisę iš Fondo gauti valdymo mokestį</w:t>
      </w:r>
      <w:r w:rsidR="00EF76F3" w:rsidRPr="00677A8D">
        <w:rPr>
          <w:color w:val="000000"/>
        </w:rPr>
        <w:t xml:space="preserve">, </w:t>
      </w:r>
      <w:r w:rsidRPr="00677A8D">
        <w:rPr>
          <w:color w:val="000000"/>
        </w:rPr>
        <w:t>apskaičiuotą taip:</w:t>
      </w:r>
    </w:p>
    <w:p w14:paraId="53ECF731" w14:textId="77777777" w:rsidR="00A66D6C" w:rsidRPr="00677A8D" w:rsidRDefault="00A66D6C" w:rsidP="00A66D6C">
      <w:pPr>
        <w:pBdr>
          <w:top w:val="nil"/>
          <w:left w:val="nil"/>
          <w:bottom w:val="nil"/>
          <w:right w:val="nil"/>
          <w:between w:val="nil"/>
        </w:pBdr>
        <w:tabs>
          <w:tab w:val="left" w:pos="851"/>
        </w:tabs>
        <w:ind w:left="851"/>
        <w:jc w:val="both"/>
        <w:rPr>
          <w:rFonts w:eastAsia="Arial"/>
          <w:color w:val="000000"/>
        </w:rPr>
      </w:pPr>
    </w:p>
    <w:p w14:paraId="44D3ED2A"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 xml:space="preserve">investavimo laikotarpiu (apibrėžtu </w:t>
      </w:r>
      <w:r w:rsidRPr="00677A8D">
        <w:rPr>
          <w:color w:val="000000"/>
        </w:rPr>
        <w:t xml:space="preserve">investavimo strategijos </w:t>
      </w:r>
      <w:r w:rsidRPr="00677A8D">
        <w:t>2.2 punkte</w:t>
      </w:r>
      <w:r w:rsidR="00D46502" w:rsidRPr="00677A8D">
        <w:t>, mokant avansu kas ketvirtį</w:t>
      </w:r>
      <w:r w:rsidRPr="00677A8D">
        <w:t>):</w:t>
      </w:r>
    </w:p>
    <w:p w14:paraId="113E4059" w14:textId="77777777" w:rsidR="00A66D6C" w:rsidRPr="00677A8D" w:rsidRDefault="00A66D6C" w:rsidP="00A66D6C">
      <w:pPr>
        <w:pBdr>
          <w:top w:val="nil"/>
          <w:left w:val="nil"/>
          <w:bottom w:val="nil"/>
          <w:right w:val="nil"/>
          <w:between w:val="nil"/>
        </w:pBdr>
        <w:tabs>
          <w:tab w:val="left" w:pos="1701"/>
        </w:tabs>
        <w:ind w:left="851"/>
        <w:jc w:val="both"/>
        <w:rPr>
          <w:rFonts w:eastAsia="Arial"/>
        </w:rPr>
      </w:pPr>
    </w:p>
    <w:p w14:paraId="1C3752E0"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2 % metinis mokestis nuo visų Fondo dalyvių įsipareigojimų investuoti į Fondą sumos, kai visų dalyvių įsipareigojimų investuoti suma neviršija 100 mln. Eur;</w:t>
      </w:r>
    </w:p>
    <w:p w14:paraId="11732C3A" w14:textId="77777777" w:rsidR="00A66D6C" w:rsidRPr="00677A8D" w:rsidRDefault="00A66D6C" w:rsidP="00A66D6C">
      <w:pPr>
        <w:pBdr>
          <w:top w:val="nil"/>
          <w:left w:val="nil"/>
          <w:bottom w:val="nil"/>
          <w:right w:val="nil"/>
          <w:between w:val="nil"/>
        </w:pBdr>
        <w:tabs>
          <w:tab w:val="left" w:pos="1701"/>
        </w:tabs>
        <w:ind w:left="1637"/>
        <w:jc w:val="both"/>
        <w:rPr>
          <w:rFonts w:eastAsia="Arial"/>
          <w:color w:val="000000"/>
        </w:rPr>
      </w:pPr>
    </w:p>
    <w:p w14:paraId="0A74602D"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1 % metinis mokestis nuo visų Fondo dalyvių įsipareigojimų investuoti į Fondą sumos dalies, kai visų dalyvių įsipareigojimų investuoti suma viršija 100 mln. Eur;</w:t>
      </w:r>
    </w:p>
    <w:p w14:paraId="2D9A4D2E" w14:textId="77777777" w:rsidR="00A66D6C" w:rsidRPr="00677A8D" w:rsidRDefault="00A66D6C" w:rsidP="00A66D6C">
      <w:pPr>
        <w:pStyle w:val="ListParagraph"/>
        <w:ind w:left="360"/>
        <w:rPr>
          <w:rFonts w:eastAsia="Arial"/>
          <w:color w:val="000000"/>
          <w:sz w:val="24"/>
        </w:rPr>
      </w:pPr>
    </w:p>
    <w:p w14:paraId="138FA558" w14:textId="77777777" w:rsidR="00A66D6C" w:rsidRPr="00677A8D" w:rsidRDefault="00A66D6C" w:rsidP="00030C29">
      <w:pPr>
        <w:numPr>
          <w:ilvl w:val="2"/>
          <w:numId w:val="10"/>
        </w:numPr>
        <w:pBdr>
          <w:top w:val="nil"/>
          <w:left w:val="nil"/>
          <w:bottom w:val="nil"/>
          <w:right w:val="nil"/>
          <w:between w:val="nil"/>
        </w:pBdr>
        <w:tabs>
          <w:tab w:val="left" w:pos="1701"/>
        </w:tabs>
        <w:ind w:left="1701" w:hanging="850"/>
        <w:jc w:val="both"/>
        <w:rPr>
          <w:rFonts w:eastAsia="Arial"/>
        </w:rPr>
      </w:pPr>
      <w:r w:rsidRPr="00677A8D">
        <w:t>pasibaigus investavimo laikotarpiui</w:t>
      </w:r>
      <w:r w:rsidR="00D46502" w:rsidRPr="00677A8D">
        <w:t xml:space="preserve"> (</w:t>
      </w:r>
      <w:r w:rsidR="00EF76F3" w:rsidRPr="00677A8D">
        <w:t xml:space="preserve">mokant </w:t>
      </w:r>
      <w:r w:rsidR="00D46502" w:rsidRPr="00677A8D">
        <w:t>kas mėnesį, už praėjusį kalendorinį mėnesį)</w:t>
      </w:r>
      <w:r w:rsidRPr="00677A8D">
        <w:t>:</w:t>
      </w:r>
    </w:p>
    <w:p w14:paraId="08C6ED53" w14:textId="77777777" w:rsidR="00A66D6C" w:rsidRPr="00677A8D" w:rsidRDefault="00A66D6C" w:rsidP="00A66D6C">
      <w:pPr>
        <w:pBdr>
          <w:top w:val="nil"/>
          <w:left w:val="nil"/>
          <w:bottom w:val="nil"/>
          <w:right w:val="nil"/>
          <w:between w:val="nil"/>
        </w:pBdr>
        <w:tabs>
          <w:tab w:val="left" w:pos="1701"/>
        </w:tabs>
        <w:ind w:left="851"/>
        <w:jc w:val="both"/>
        <w:rPr>
          <w:rFonts w:eastAsia="Arial"/>
        </w:rPr>
      </w:pPr>
    </w:p>
    <w:p w14:paraId="528B4026"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1,0 % metinis mokestis nuo Fondo dalyviams negrąžintų investicijų, neviršijančių 100 mln. Eur;</w:t>
      </w:r>
    </w:p>
    <w:p w14:paraId="4328D815" w14:textId="77777777" w:rsidR="00A66D6C" w:rsidRPr="00677A8D" w:rsidRDefault="00A66D6C" w:rsidP="00A66D6C">
      <w:pPr>
        <w:pBdr>
          <w:top w:val="nil"/>
          <w:left w:val="nil"/>
          <w:bottom w:val="nil"/>
          <w:right w:val="nil"/>
          <w:between w:val="nil"/>
        </w:pBdr>
        <w:tabs>
          <w:tab w:val="left" w:pos="1701"/>
        </w:tabs>
        <w:ind w:left="1637"/>
        <w:jc w:val="both"/>
        <w:rPr>
          <w:rFonts w:eastAsia="Arial"/>
          <w:color w:val="000000"/>
        </w:rPr>
      </w:pPr>
    </w:p>
    <w:p w14:paraId="10F67526"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0,75% metinis mokestis (nuo Fondo dalyviams negrąžintų investicijų</w:t>
      </w:r>
      <w:r w:rsidRPr="00677A8D" w:rsidDel="000E04E9">
        <w:rPr>
          <w:color w:val="000000"/>
        </w:rPr>
        <w:t xml:space="preserve"> </w:t>
      </w:r>
      <w:r w:rsidRPr="00677A8D">
        <w:rPr>
          <w:color w:val="000000"/>
        </w:rPr>
        <w:t>dalies, viršijančios 100 mln. Eur, bet neviršijančios 200 mln. Eur;</w:t>
      </w:r>
    </w:p>
    <w:p w14:paraId="59F8EC46" w14:textId="77777777" w:rsidR="00A66D6C" w:rsidRPr="00677A8D" w:rsidRDefault="00A66D6C" w:rsidP="00A66D6C">
      <w:pPr>
        <w:pStyle w:val="ListParagraph"/>
        <w:ind w:left="360"/>
        <w:rPr>
          <w:rFonts w:eastAsia="Arial"/>
          <w:color w:val="000000"/>
          <w:sz w:val="24"/>
        </w:rPr>
      </w:pPr>
    </w:p>
    <w:p w14:paraId="3D8D1F7C" w14:textId="77777777" w:rsidR="00A66D6C" w:rsidRPr="00677A8D" w:rsidRDefault="00A66D6C" w:rsidP="00030C29">
      <w:pPr>
        <w:numPr>
          <w:ilvl w:val="3"/>
          <w:numId w:val="10"/>
        </w:numPr>
        <w:pBdr>
          <w:top w:val="nil"/>
          <w:left w:val="nil"/>
          <w:bottom w:val="nil"/>
          <w:right w:val="nil"/>
          <w:between w:val="nil"/>
        </w:pBdr>
        <w:tabs>
          <w:tab w:val="left" w:pos="1701"/>
        </w:tabs>
        <w:jc w:val="both"/>
        <w:rPr>
          <w:rFonts w:eastAsia="Arial"/>
          <w:color w:val="000000"/>
        </w:rPr>
      </w:pPr>
      <w:r w:rsidRPr="00677A8D">
        <w:rPr>
          <w:color w:val="000000"/>
        </w:rPr>
        <w:t>0,5 % metinis mokestis nuo Fondo dalyviams negrąžintų investicijų</w:t>
      </w:r>
      <w:r w:rsidRPr="00677A8D" w:rsidDel="000E04E9">
        <w:rPr>
          <w:color w:val="000000"/>
        </w:rPr>
        <w:t xml:space="preserve"> </w:t>
      </w:r>
      <w:r w:rsidRPr="00677A8D">
        <w:rPr>
          <w:color w:val="000000"/>
        </w:rPr>
        <w:t>dalies, viršijančios 200 mln. Eur.</w:t>
      </w:r>
    </w:p>
    <w:sectPr w:rsidR="00A66D6C" w:rsidRPr="00677A8D">
      <w:headerReference w:type="default" r:id="rId12"/>
      <w:headerReference w:type="first" r:id="rId13"/>
      <w:pgSz w:w="11906" w:h="16838"/>
      <w:pgMar w:top="1417" w:right="1417" w:bottom="1417" w:left="1417" w:header="708" w:footer="708" w:gutter="0"/>
      <w:cols w:space="1296"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196D" w14:textId="77777777" w:rsidR="007A76E7" w:rsidRDefault="007A76E7">
      <w:r>
        <w:separator/>
      </w:r>
    </w:p>
  </w:endnote>
  <w:endnote w:type="continuationSeparator" w:id="0">
    <w:p w14:paraId="6EC16D95" w14:textId="77777777" w:rsidR="007A76E7" w:rsidRDefault="007A76E7">
      <w:r>
        <w:continuationSeparator/>
      </w:r>
    </w:p>
  </w:endnote>
  <w:endnote w:type="continuationNotice" w:id="1">
    <w:p w14:paraId="4B150F2E" w14:textId="77777777" w:rsidR="007A76E7" w:rsidRDefault="007A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3B56" w14:textId="77777777" w:rsidR="007A76E7" w:rsidRDefault="007A76E7">
      <w:r>
        <w:separator/>
      </w:r>
    </w:p>
  </w:footnote>
  <w:footnote w:type="continuationSeparator" w:id="0">
    <w:p w14:paraId="3547FFB8" w14:textId="77777777" w:rsidR="007A76E7" w:rsidRDefault="007A76E7">
      <w:r>
        <w:continuationSeparator/>
      </w:r>
    </w:p>
  </w:footnote>
  <w:footnote w:type="continuationNotice" w:id="1">
    <w:p w14:paraId="32A36C8C" w14:textId="77777777" w:rsidR="007A76E7" w:rsidRDefault="007A7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C167" w14:textId="77777777" w:rsidR="006D78E8" w:rsidRDefault="006D78E8">
    <w:pPr>
      <w:pBdr>
        <w:top w:val="nil"/>
        <w:left w:val="nil"/>
        <w:bottom w:val="single" w:sz="4" w:space="1" w:color="000000"/>
        <w:right w:val="nil"/>
        <w:between w:val="nil"/>
      </w:pBdr>
      <w:tabs>
        <w:tab w:val="left" w:pos="5103"/>
        <w:tab w:val="right" w:pos="9072"/>
      </w:tabs>
      <w:spacing w:before="60" w:after="60"/>
      <w:jc w:val="both"/>
      <w:rPr>
        <w:color w:val="000000"/>
        <w:sz w:val="20"/>
        <w:szCs w:val="20"/>
      </w:rPr>
    </w:pPr>
    <w:r>
      <w:rPr>
        <w:color w:val="000000"/>
        <w:sz w:val="20"/>
        <w:szCs w:val="20"/>
      </w:rPr>
      <w:t>KŪB „Pagalbos verslui fondas“</w:t>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9015BF">
      <w:rPr>
        <w:noProof/>
        <w:color w:val="000000"/>
        <w:sz w:val="20"/>
        <w:szCs w:val="20"/>
      </w:rPr>
      <w:t>12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9015BF">
      <w:rPr>
        <w:noProof/>
        <w:color w:val="000000"/>
        <w:sz w:val="20"/>
        <w:szCs w:val="20"/>
      </w:rPr>
      <w:t>33</w:t>
    </w:r>
    <w:r>
      <w:rPr>
        <w:color w:val="000000"/>
        <w:sz w:val="20"/>
        <w:szCs w:val="20"/>
      </w:rPr>
      <w:fldChar w:fldCharType="end"/>
    </w:r>
    <w:r>
      <w:rPr>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8EB7" w14:textId="77777777" w:rsidR="006D78E8" w:rsidRDefault="006D78E8">
    <w:pPr>
      <w:pBdr>
        <w:top w:val="nil"/>
        <w:left w:val="nil"/>
        <w:bottom w:val="single" w:sz="4" w:space="1" w:color="000000"/>
        <w:right w:val="nil"/>
        <w:between w:val="nil"/>
      </w:pBdr>
      <w:tabs>
        <w:tab w:val="center" w:pos="4536"/>
        <w:tab w:val="right" w:pos="9072"/>
      </w:tabs>
      <w:spacing w:before="60" w:after="60"/>
      <w:jc w:val="both"/>
      <w:rPr>
        <w:color w:val="000000"/>
        <w:sz w:val="20"/>
        <w:szCs w:val="20"/>
      </w:rPr>
    </w:pPr>
    <w:r w:rsidRPr="00D40BDC">
      <w:rPr>
        <w:color w:val="000000"/>
        <w:sz w:val="20"/>
        <w:szCs w:val="20"/>
      </w:rPr>
      <w:t>KŪB</w:t>
    </w:r>
    <w:r>
      <w:rPr>
        <w:color w:val="000000"/>
        <w:sz w:val="20"/>
        <w:szCs w:val="20"/>
      </w:rPr>
      <w:t xml:space="preserve"> </w:t>
    </w:r>
    <w:r>
      <w:rPr>
        <w:color w:val="000000"/>
        <w:sz w:val="20"/>
        <w:szCs w:val="20"/>
      </w:rPr>
      <w:t>„Pagalbos verslui</w:t>
    </w:r>
    <w:r w:rsidRPr="00554188">
      <w:rPr>
        <w:color w:val="000000"/>
        <w:sz w:val="20"/>
        <w:szCs w:val="20"/>
      </w:rPr>
      <w:t xml:space="preserve"> fondas</w:t>
    </w:r>
    <w:r>
      <w:rPr>
        <w:color w:val="000000"/>
        <w:sz w:val="20"/>
        <w:szCs w:val="20"/>
      </w:rPr>
      <w:t>“</w:t>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9015BF">
      <w:rPr>
        <w:noProof/>
        <w:color w:val="000000"/>
        <w:sz w:val="20"/>
        <w:szCs w:val="20"/>
      </w:rPr>
      <w:t>3</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9015BF">
      <w:rPr>
        <w:noProof/>
        <w:color w:val="000000"/>
        <w:sz w:val="20"/>
        <w:szCs w:val="20"/>
      </w:rPr>
      <w:t>33</w:t>
    </w:r>
    <w:r>
      <w:rPr>
        <w:color w:val="000000"/>
        <w:sz w:val="20"/>
        <w:szCs w:val="20"/>
      </w:rPr>
      <w:fldChar w:fldCharType="end"/>
    </w:r>
    <w:r>
      <w:rPr>
        <w:color w:val="000000"/>
        <w:sz w:val="20"/>
        <w:szCs w:val="20"/>
      </w:rPr>
      <w:t xml:space="preserve"> –</w:t>
    </w:r>
  </w:p>
  <w:p w14:paraId="51AAD31A" w14:textId="77777777" w:rsidR="006D78E8" w:rsidRDefault="006D78E8">
    <w:pPr>
      <w:pBdr>
        <w:top w:val="nil"/>
        <w:left w:val="nil"/>
        <w:bottom w:val="nil"/>
        <w:right w:val="nil"/>
        <w:between w:val="nil"/>
      </w:pBdr>
      <w:tabs>
        <w:tab w:val="center" w:pos="4535"/>
        <w:tab w:val="right" w:pos="9071"/>
      </w:tabs>
      <w:spacing w:before="60" w:after="60"/>
      <w:jc w:val="both"/>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1DF06A2"/>
    <w:multiLevelType w:val="multilevel"/>
    <w:tmpl w:val="51964078"/>
    <w:lvl w:ilvl="0">
      <w:start w:val="1"/>
      <w:numFmt w:val="decimal"/>
      <w:pStyle w:val="NCNumbering"/>
      <w:lvlText w:val="(%1)"/>
      <w:lvlJc w:val="left"/>
      <w:pPr>
        <w:ind w:left="964" w:hanging="964"/>
      </w:pPr>
    </w:lvl>
    <w:lvl w:ilvl="1">
      <w:start w:val="1"/>
      <w:numFmt w:val="upperLetter"/>
      <w:lvlText w:val="(%2)"/>
      <w:lvlJc w:val="left"/>
      <w:pPr>
        <w:ind w:left="964" w:hanging="964"/>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D7A2C4B"/>
    <w:multiLevelType w:val="multilevel"/>
    <w:tmpl w:val="D988D474"/>
    <w:lvl w:ilvl="0">
      <w:start w:val="1"/>
      <w:numFmt w:val="decimal"/>
      <w:pStyle w:val="HeadingofAppendix"/>
      <w:lvlText w:val="%1."/>
      <w:lvlJc w:val="left"/>
      <w:pPr>
        <w:tabs>
          <w:tab w:val="num" w:pos="720"/>
        </w:tabs>
        <w:ind w:left="720" w:hanging="720"/>
      </w:pPr>
    </w:lvl>
    <w:lvl w:ilvl="1">
      <w:start w:val="1"/>
      <w:numFmt w:val="decimal"/>
      <w:pStyle w:val="TextofAppendixlevel1"/>
      <w:lvlText w:val="%2."/>
      <w:lvlJc w:val="left"/>
      <w:pPr>
        <w:tabs>
          <w:tab w:val="num" w:pos="1440"/>
        </w:tabs>
        <w:ind w:left="1440" w:hanging="720"/>
      </w:pPr>
    </w:lvl>
    <w:lvl w:ilvl="2">
      <w:start w:val="1"/>
      <w:numFmt w:val="decimal"/>
      <w:pStyle w:val="TextofAppendixlevel2"/>
      <w:lvlText w:val="%3."/>
      <w:lvlJc w:val="left"/>
      <w:pPr>
        <w:tabs>
          <w:tab w:val="num" w:pos="2160"/>
        </w:tabs>
        <w:ind w:left="2160" w:hanging="720"/>
      </w:pPr>
    </w:lvl>
    <w:lvl w:ilvl="3">
      <w:start w:val="1"/>
      <w:numFmt w:val="decimal"/>
      <w:pStyle w:val="TextofAppendixlevel3"/>
      <w:lvlText w:val="%4."/>
      <w:lvlJc w:val="left"/>
      <w:pPr>
        <w:tabs>
          <w:tab w:val="num" w:pos="2880"/>
        </w:tabs>
        <w:ind w:left="2880" w:hanging="720"/>
      </w:pPr>
    </w:lvl>
    <w:lvl w:ilvl="4">
      <w:start w:val="1"/>
      <w:numFmt w:val="decimal"/>
      <w:pStyle w:val="TextofAppendixlevel4"/>
      <w:lvlText w:val="%5."/>
      <w:lvlJc w:val="left"/>
      <w:pPr>
        <w:tabs>
          <w:tab w:val="num" w:pos="3600"/>
        </w:tabs>
        <w:ind w:left="3600" w:hanging="720"/>
      </w:pPr>
    </w:lvl>
    <w:lvl w:ilvl="5">
      <w:start w:val="1"/>
      <w:numFmt w:val="decimal"/>
      <w:pStyle w:val="SORLDDHeading6"/>
      <w:lvlText w:val="%6."/>
      <w:lvlJc w:val="left"/>
      <w:pPr>
        <w:tabs>
          <w:tab w:val="num" w:pos="4320"/>
        </w:tabs>
        <w:ind w:left="4320" w:hanging="720"/>
      </w:pPr>
    </w:lvl>
    <w:lvl w:ilvl="6">
      <w:start w:val="1"/>
      <w:numFmt w:val="decimal"/>
      <w:pStyle w:val="SORLDDHeading7"/>
      <w:lvlText w:val="%7."/>
      <w:lvlJc w:val="left"/>
      <w:pPr>
        <w:tabs>
          <w:tab w:val="num" w:pos="5040"/>
        </w:tabs>
        <w:ind w:left="5040" w:hanging="720"/>
      </w:pPr>
    </w:lvl>
    <w:lvl w:ilvl="7">
      <w:start w:val="1"/>
      <w:numFmt w:val="decimal"/>
      <w:pStyle w:val="SORLDDHeading8"/>
      <w:lvlText w:val="%8."/>
      <w:lvlJc w:val="left"/>
      <w:pPr>
        <w:tabs>
          <w:tab w:val="num" w:pos="5760"/>
        </w:tabs>
        <w:ind w:left="5760" w:hanging="720"/>
      </w:pPr>
    </w:lvl>
    <w:lvl w:ilvl="8">
      <w:start w:val="1"/>
      <w:numFmt w:val="decimal"/>
      <w:pStyle w:val="SORLDDHeading9"/>
      <w:lvlText w:val="%9."/>
      <w:lvlJc w:val="left"/>
      <w:pPr>
        <w:tabs>
          <w:tab w:val="num" w:pos="6480"/>
        </w:tabs>
        <w:ind w:left="6480" w:hanging="720"/>
      </w:pPr>
    </w:lvl>
  </w:abstractNum>
  <w:abstractNum w:abstractNumId="3" w15:restartNumberingAfterBreak="0">
    <w:nsid w:val="0E8B0BA7"/>
    <w:multiLevelType w:val="multilevel"/>
    <w:tmpl w:val="98405754"/>
    <w:lvl w:ilvl="0">
      <w:start w:val="1"/>
      <w:numFmt w:val="decimal"/>
      <w:lvlText w:val="%1."/>
      <w:lvlJc w:val="left"/>
      <w:pPr>
        <w:ind w:left="360" w:hanging="360"/>
      </w:pPr>
      <w:rPr>
        <w:rFonts w:ascii="Times New Roman" w:eastAsia="Arial" w:hAnsi="Times New Roman" w:cs="Times New Roman" w:hint="default"/>
        <w:sz w:val="24"/>
        <w:szCs w:val="24"/>
      </w:rPr>
    </w:lvl>
    <w:lvl w:ilvl="1">
      <w:start w:val="1"/>
      <w:numFmt w:val="decimal"/>
      <w:lvlText w:val="%1.%2."/>
      <w:lvlJc w:val="left"/>
      <w:pPr>
        <w:ind w:left="928" w:hanging="360"/>
      </w:pPr>
      <w:rPr>
        <w:rFonts w:ascii="Times New Roman" w:eastAsia="Arial" w:hAnsi="Times New Roman" w:cs="Times New Roman" w:hint="default"/>
        <w:b w:val="0"/>
        <w:i w:val="0"/>
        <w:sz w:val="24"/>
        <w:szCs w:val="24"/>
      </w:rPr>
    </w:lvl>
    <w:lvl w:ilvl="2">
      <w:start w:val="1"/>
      <w:numFmt w:val="decimal"/>
      <w:lvlText w:val="%1.%2.%3."/>
      <w:lvlJc w:val="left"/>
      <w:pPr>
        <w:ind w:left="1498" w:hanging="362"/>
      </w:pPr>
      <w:rPr>
        <w:rFonts w:ascii="Times New Roman" w:eastAsia="Arial" w:hAnsi="Times New Roman" w:cs="Times New Roman" w:hint="default"/>
        <w:b w:val="0"/>
        <w:i w:val="0"/>
        <w:sz w:val="24"/>
        <w:szCs w:val="24"/>
      </w:rPr>
    </w:lvl>
    <w:lvl w:ilvl="3">
      <w:start w:val="1"/>
      <w:numFmt w:val="decimal"/>
      <w:lvlText w:val="%1.%2.%3.%4."/>
      <w:lvlJc w:val="left"/>
      <w:pPr>
        <w:ind w:left="1637"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2E5759"/>
    <w:multiLevelType w:val="multilevel"/>
    <w:tmpl w:val="504833FE"/>
    <w:lvl w:ilvl="0">
      <w:start w:val="1"/>
      <w:numFmt w:val="decimal"/>
      <w:pStyle w:val="SLOlistofparties"/>
      <w:lvlText w:val="(%1)"/>
      <w:lvlJc w:val="left"/>
      <w:pPr>
        <w:ind w:left="720" w:hanging="360"/>
      </w:pPr>
      <w:rPr>
        <w:b w:val="0"/>
      </w:rPr>
    </w:lvl>
    <w:lvl w:ilvl="1">
      <w:start w:val="1"/>
      <w:numFmt w:val="lowerLetter"/>
      <w:pStyle w:val="SLOlistofrecital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F6483"/>
    <w:multiLevelType w:val="multilevel"/>
    <w:tmpl w:val="6A84B860"/>
    <w:lvl w:ilvl="0">
      <w:start w:val="1"/>
      <w:numFmt w:val="decimal"/>
      <w:pStyle w:val="SLONumberedList"/>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rPr>
        <w:b w:val="0"/>
        <w:i w:val="0"/>
        <w:sz w:val="22"/>
        <w:szCs w:val="22"/>
      </w:rPr>
    </w:lvl>
    <w:lvl w:ilvl="3">
      <w:start w:val="1"/>
      <w:numFmt w:val="lowerLetter"/>
      <w:pStyle w:val="4thlevellistnoindent"/>
      <w:lvlText w:val="(%4)"/>
      <w:lvlJc w:val="left"/>
      <w:pPr>
        <w:ind w:left="1928" w:hanging="850"/>
      </w:pPr>
      <w:rPr>
        <w:rFonts w:ascii="Times New Roman" w:eastAsia="Times New Roman" w:hAnsi="Times New Roman" w:cs="Times New Roman"/>
        <w:i w:val="0"/>
      </w:rPr>
    </w:lvl>
    <w:lvl w:ilvl="4">
      <w:start w:val="1"/>
      <w:numFmt w:val="lowerRoman"/>
      <w:pStyle w:val="5thlevelheadingnoindent"/>
      <w:lvlText w:val="(%5)"/>
      <w:lvlJc w:val="left"/>
      <w:pPr>
        <w:ind w:left="2835" w:hanging="851"/>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D505D0D"/>
    <w:multiLevelType w:val="hybridMultilevel"/>
    <w:tmpl w:val="14F08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B25C44"/>
    <w:multiLevelType w:val="multilevel"/>
    <w:tmpl w:val="94E8379C"/>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A720E88"/>
    <w:multiLevelType w:val="multilevel"/>
    <w:tmpl w:val="30F6AFA8"/>
    <w:lvl w:ilvl="0">
      <w:start w:val="1"/>
      <w:numFmt w:val="decimal"/>
      <w:pStyle w:val="SLOList"/>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rPr>
        <w:b w:val="0"/>
        <w:i w:val="0"/>
      </w:rPr>
    </w:lvl>
    <w:lvl w:ilvl="3">
      <w:start w:val="1"/>
      <w:numFmt w:val="lowerLetter"/>
      <w:lvlText w:val="(%4)"/>
      <w:lvlJc w:val="left"/>
      <w:pPr>
        <w:ind w:left="1928" w:hanging="850"/>
      </w:pPr>
      <w:rPr>
        <w:rFonts w:ascii="Times New Roman" w:eastAsia="Times New Roman" w:hAnsi="Times New Roman" w:cs="Times New Roman"/>
        <w:i w:val="0"/>
      </w:rPr>
    </w:lvl>
    <w:lvl w:ilvl="4">
      <w:start w:val="1"/>
      <w:numFmt w:val="lowerRoman"/>
      <w:lvlText w:val="(%5)"/>
      <w:lvlJc w:val="left"/>
      <w:pPr>
        <w:ind w:left="2835" w:hanging="851"/>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E476771"/>
    <w:multiLevelType w:val="multilevel"/>
    <w:tmpl w:val="6D64353E"/>
    <w:lvl w:ilvl="0">
      <w:start w:val="1"/>
      <w:numFmt w:val="decimal"/>
      <w:pStyle w:val="1stlevelheading"/>
      <w:lvlText w:val="%1."/>
      <w:lvlJc w:val="left"/>
      <w:pPr>
        <w:ind w:left="964" w:hanging="964"/>
      </w:pPr>
    </w:lvl>
    <w:lvl w:ilvl="1">
      <w:start w:val="1"/>
      <w:numFmt w:val="decimal"/>
      <w:pStyle w:val="2ndlevelheading"/>
      <w:lvlText w:val="%1.%2."/>
      <w:lvlJc w:val="left"/>
      <w:pPr>
        <w:ind w:left="1532" w:hanging="964"/>
      </w:pPr>
      <w:rPr>
        <w:b w:val="0"/>
        <w:bCs/>
      </w:rPr>
    </w:lvl>
    <w:lvl w:ilvl="2">
      <w:start w:val="1"/>
      <w:numFmt w:val="decimal"/>
      <w:pStyle w:val="3rdlevelheading"/>
      <w:lvlText w:val="%1.%2.%3."/>
      <w:lvlJc w:val="left"/>
      <w:pPr>
        <w:ind w:left="964" w:hanging="964"/>
      </w:pPr>
      <w:rPr>
        <w:b w:val="0"/>
        <w:i w:val="0"/>
        <w:color w:val="auto"/>
      </w:rPr>
    </w:lvl>
    <w:lvl w:ilvl="3">
      <w:start w:val="1"/>
      <w:numFmt w:val="lowerLetter"/>
      <w:pStyle w:val="4thlevelheading"/>
      <w:lvlText w:val="(%4)"/>
      <w:lvlJc w:val="left"/>
      <w:pPr>
        <w:ind w:left="1928" w:hanging="850"/>
      </w:pPr>
      <w:rPr>
        <w:rFonts w:ascii="Times New Roman" w:eastAsia="Times New Roman" w:hAnsi="Times New Roman" w:cs="Times New Roman"/>
        <w:i w:val="0"/>
      </w:rPr>
    </w:lvl>
    <w:lvl w:ilvl="4">
      <w:start w:val="1"/>
      <w:numFmt w:val="lowerRoman"/>
      <w:pStyle w:val="5thlevelheading"/>
      <w:lvlText w:val="(%5)"/>
      <w:lvlJc w:val="left"/>
      <w:pPr>
        <w:ind w:left="2835" w:hanging="851"/>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9"/>
  </w:num>
  <w:num w:numId="3">
    <w:abstractNumId w:val="1"/>
  </w:num>
  <w:num w:numId="4">
    <w:abstractNumId w:val="8"/>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6cf086ae-77a4-47ec-8a38-bf7a737b7cf7"/>
    <w:docVar w:name="DOCDRAFTER_VERSION" w:val="1.6"/>
    <w:docVar w:name="DOCDRAFTERREINDEX" w:val="NO"/>
    <w:docVar w:name="VERSIONDETAIL" w:val="0"/>
  </w:docVars>
  <w:rsids>
    <w:rsidRoot w:val="00A26D6F"/>
    <w:rsid w:val="00000B50"/>
    <w:rsid w:val="0000147D"/>
    <w:rsid w:val="0000435B"/>
    <w:rsid w:val="00006355"/>
    <w:rsid w:val="00006F3D"/>
    <w:rsid w:val="00007878"/>
    <w:rsid w:val="00012075"/>
    <w:rsid w:val="000162C8"/>
    <w:rsid w:val="00017614"/>
    <w:rsid w:val="00020A10"/>
    <w:rsid w:val="0002192C"/>
    <w:rsid w:val="000232F2"/>
    <w:rsid w:val="0002547B"/>
    <w:rsid w:val="000257B3"/>
    <w:rsid w:val="000275E5"/>
    <w:rsid w:val="00030C29"/>
    <w:rsid w:val="00032719"/>
    <w:rsid w:val="000327DD"/>
    <w:rsid w:val="00033BAD"/>
    <w:rsid w:val="00034E27"/>
    <w:rsid w:val="00035ED7"/>
    <w:rsid w:val="0003681F"/>
    <w:rsid w:val="00040B8E"/>
    <w:rsid w:val="00041E8C"/>
    <w:rsid w:val="00042164"/>
    <w:rsid w:val="00042CBB"/>
    <w:rsid w:val="00043224"/>
    <w:rsid w:val="00043481"/>
    <w:rsid w:val="00046286"/>
    <w:rsid w:val="00047C52"/>
    <w:rsid w:val="00047DC4"/>
    <w:rsid w:val="0005350C"/>
    <w:rsid w:val="000545BB"/>
    <w:rsid w:val="000565FF"/>
    <w:rsid w:val="00056CC1"/>
    <w:rsid w:val="00062603"/>
    <w:rsid w:val="000640C7"/>
    <w:rsid w:val="000664A2"/>
    <w:rsid w:val="000742D9"/>
    <w:rsid w:val="00077ADB"/>
    <w:rsid w:val="000806FB"/>
    <w:rsid w:val="000827F7"/>
    <w:rsid w:val="00082B10"/>
    <w:rsid w:val="00082BBE"/>
    <w:rsid w:val="00083FFB"/>
    <w:rsid w:val="00085BFB"/>
    <w:rsid w:val="00087060"/>
    <w:rsid w:val="0008756D"/>
    <w:rsid w:val="00096A81"/>
    <w:rsid w:val="00097AC8"/>
    <w:rsid w:val="000A29F7"/>
    <w:rsid w:val="000A2EC6"/>
    <w:rsid w:val="000A3337"/>
    <w:rsid w:val="000A3846"/>
    <w:rsid w:val="000A6273"/>
    <w:rsid w:val="000A6795"/>
    <w:rsid w:val="000A7A97"/>
    <w:rsid w:val="000B027E"/>
    <w:rsid w:val="000B1C30"/>
    <w:rsid w:val="000B31FF"/>
    <w:rsid w:val="000B465F"/>
    <w:rsid w:val="000B4919"/>
    <w:rsid w:val="000B61EA"/>
    <w:rsid w:val="000B760E"/>
    <w:rsid w:val="000C22F9"/>
    <w:rsid w:val="000C24D9"/>
    <w:rsid w:val="000C38F0"/>
    <w:rsid w:val="000C3B70"/>
    <w:rsid w:val="000C41B2"/>
    <w:rsid w:val="000C4DE2"/>
    <w:rsid w:val="000C4F6D"/>
    <w:rsid w:val="000C6BA9"/>
    <w:rsid w:val="000C7D6B"/>
    <w:rsid w:val="000D0165"/>
    <w:rsid w:val="000D33CF"/>
    <w:rsid w:val="000D3608"/>
    <w:rsid w:val="000D49FC"/>
    <w:rsid w:val="000D4A13"/>
    <w:rsid w:val="000D569C"/>
    <w:rsid w:val="000D6B4A"/>
    <w:rsid w:val="000D7896"/>
    <w:rsid w:val="000D7A7B"/>
    <w:rsid w:val="000E09CA"/>
    <w:rsid w:val="000E3549"/>
    <w:rsid w:val="000E594F"/>
    <w:rsid w:val="000E5DAE"/>
    <w:rsid w:val="000E71D6"/>
    <w:rsid w:val="000F116A"/>
    <w:rsid w:val="000F160A"/>
    <w:rsid w:val="000F7E1C"/>
    <w:rsid w:val="00102D95"/>
    <w:rsid w:val="00103295"/>
    <w:rsid w:val="00103A1D"/>
    <w:rsid w:val="00104E5B"/>
    <w:rsid w:val="00112650"/>
    <w:rsid w:val="001129E8"/>
    <w:rsid w:val="00112C5B"/>
    <w:rsid w:val="001137C3"/>
    <w:rsid w:val="001157B7"/>
    <w:rsid w:val="00116620"/>
    <w:rsid w:val="001174C5"/>
    <w:rsid w:val="00122686"/>
    <w:rsid w:val="00126894"/>
    <w:rsid w:val="00131E69"/>
    <w:rsid w:val="001327EF"/>
    <w:rsid w:val="0013330E"/>
    <w:rsid w:val="0013482D"/>
    <w:rsid w:val="001363C0"/>
    <w:rsid w:val="001378AA"/>
    <w:rsid w:val="0014007E"/>
    <w:rsid w:val="00140C4D"/>
    <w:rsid w:val="001466A7"/>
    <w:rsid w:val="00146A69"/>
    <w:rsid w:val="00146F1C"/>
    <w:rsid w:val="001477C3"/>
    <w:rsid w:val="001477DD"/>
    <w:rsid w:val="001504F4"/>
    <w:rsid w:val="0015406E"/>
    <w:rsid w:val="00155A5A"/>
    <w:rsid w:val="00156595"/>
    <w:rsid w:val="0016219C"/>
    <w:rsid w:val="001675DF"/>
    <w:rsid w:val="00173272"/>
    <w:rsid w:val="0017459A"/>
    <w:rsid w:val="00174961"/>
    <w:rsid w:val="001749E9"/>
    <w:rsid w:val="001770DA"/>
    <w:rsid w:val="00183D7B"/>
    <w:rsid w:val="0018600C"/>
    <w:rsid w:val="001865C8"/>
    <w:rsid w:val="00186FA7"/>
    <w:rsid w:val="001910EA"/>
    <w:rsid w:val="0019289E"/>
    <w:rsid w:val="00194B38"/>
    <w:rsid w:val="00195915"/>
    <w:rsid w:val="001971AF"/>
    <w:rsid w:val="001974CA"/>
    <w:rsid w:val="001A14EF"/>
    <w:rsid w:val="001A3623"/>
    <w:rsid w:val="001A3C83"/>
    <w:rsid w:val="001A4960"/>
    <w:rsid w:val="001A4D5F"/>
    <w:rsid w:val="001A6F39"/>
    <w:rsid w:val="001A73CF"/>
    <w:rsid w:val="001B1096"/>
    <w:rsid w:val="001B4655"/>
    <w:rsid w:val="001B4AEE"/>
    <w:rsid w:val="001B74C7"/>
    <w:rsid w:val="001C1949"/>
    <w:rsid w:val="001C20A1"/>
    <w:rsid w:val="001C5D5A"/>
    <w:rsid w:val="001C66EF"/>
    <w:rsid w:val="001C6C84"/>
    <w:rsid w:val="001D0135"/>
    <w:rsid w:val="001D1421"/>
    <w:rsid w:val="001D2691"/>
    <w:rsid w:val="001D457D"/>
    <w:rsid w:val="001D49A0"/>
    <w:rsid w:val="001D4A7F"/>
    <w:rsid w:val="001D6EAA"/>
    <w:rsid w:val="001D7126"/>
    <w:rsid w:val="001D780B"/>
    <w:rsid w:val="001D7920"/>
    <w:rsid w:val="001E2EA0"/>
    <w:rsid w:val="001F0586"/>
    <w:rsid w:val="001F42F2"/>
    <w:rsid w:val="001F75F4"/>
    <w:rsid w:val="00203001"/>
    <w:rsid w:val="0020611E"/>
    <w:rsid w:val="002079D9"/>
    <w:rsid w:val="00210E1C"/>
    <w:rsid w:val="002110D2"/>
    <w:rsid w:val="0021307E"/>
    <w:rsid w:val="0021391C"/>
    <w:rsid w:val="002176E2"/>
    <w:rsid w:val="00221A32"/>
    <w:rsid w:val="00221F81"/>
    <w:rsid w:val="0022353B"/>
    <w:rsid w:val="0022376A"/>
    <w:rsid w:val="002270CF"/>
    <w:rsid w:val="00227160"/>
    <w:rsid w:val="0022732E"/>
    <w:rsid w:val="00230A19"/>
    <w:rsid w:val="00231156"/>
    <w:rsid w:val="002334D4"/>
    <w:rsid w:val="00237DD0"/>
    <w:rsid w:val="00241612"/>
    <w:rsid w:val="00242E1E"/>
    <w:rsid w:val="00243B80"/>
    <w:rsid w:val="00244B7F"/>
    <w:rsid w:val="00245A54"/>
    <w:rsid w:val="00245E36"/>
    <w:rsid w:val="002475FB"/>
    <w:rsid w:val="0025213F"/>
    <w:rsid w:val="0025625E"/>
    <w:rsid w:val="0026027E"/>
    <w:rsid w:val="00263C6B"/>
    <w:rsid w:val="0027002D"/>
    <w:rsid w:val="00271E38"/>
    <w:rsid w:val="00272DD8"/>
    <w:rsid w:val="002730DB"/>
    <w:rsid w:val="00274FF5"/>
    <w:rsid w:val="00276F5A"/>
    <w:rsid w:val="002800A0"/>
    <w:rsid w:val="002807BE"/>
    <w:rsid w:val="00280B4D"/>
    <w:rsid w:val="00282758"/>
    <w:rsid w:val="00283AFE"/>
    <w:rsid w:val="00284F14"/>
    <w:rsid w:val="00286BE3"/>
    <w:rsid w:val="00287028"/>
    <w:rsid w:val="002878AB"/>
    <w:rsid w:val="0029003B"/>
    <w:rsid w:val="0029429C"/>
    <w:rsid w:val="00295726"/>
    <w:rsid w:val="00295C42"/>
    <w:rsid w:val="002972D7"/>
    <w:rsid w:val="002A0ED6"/>
    <w:rsid w:val="002A1E7A"/>
    <w:rsid w:val="002A3901"/>
    <w:rsid w:val="002A4400"/>
    <w:rsid w:val="002A4410"/>
    <w:rsid w:val="002A6FF7"/>
    <w:rsid w:val="002B1023"/>
    <w:rsid w:val="002B1E6E"/>
    <w:rsid w:val="002B3137"/>
    <w:rsid w:val="002B58B9"/>
    <w:rsid w:val="002C04B4"/>
    <w:rsid w:val="002C09E8"/>
    <w:rsid w:val="002C1203"/>
    <w:rsid w:val="002C291E"/>
    <w:rsid w:val="002C3B50"/>
    <w:rsid w:val="002C6306"/>
    <w:rsid w:val="002C6CEB"/>
    <w:rsid w:val="002D0549"/>
    <w:rsid w:val="002D0C31"/>
    <w:rsid w:val="002D0D0A"/>
    <w:rsid w:val="002D1712"/>
    <w:rsid w:val="002D546F"/>
    <w:rsid w:val="002D64A7"/>
    <w:rsid w:val="002D6BE7"/>
    <w:rsid w:val="002D7113"/>
    <w:rsid w:val="002E0645"/>
    <w:rsid w:val="002E0E25"/>
    <w:rsid w:val="002E0E8E"/>
    <w:rsid w:val="002E0EBB"/>
    <w:rsid w:val="002E3109"/>
    <w:rsid w:val="002E3517"/>
    <w:rsid w:val="002E3D47"/>
    <w:rsid w:val="002E4332"/>
    <w:rsid w:val="002E4494"/>
    <w:rsid w:val="002E4B95"/>
    <w:rsid w:val="002E5D30"/>
    <w:rsid w:val="002E5DD8"/>
    <w:rsid w:val="002E5E79"/>
    <w:rsid w:val="002E75E9"/>
    <w:rsid w:val="002F167A"/>
    <w:rsid w:val="002F16EB"/>
    <w:rsid w:val="002F19A3"/>
    <w:rsid w:val="002F217F"/>
    <w:rsid w:val="002F2CA9"/>
    <w:rsid w:val="002F570F"/>
    <w:rsid w:val="002F58BE"/>
    <w:rsid w:val="002F60EA"/>
    <w:rsid w:val="00300497"/>
    <w:rsid w:val="00305618"/>
    <w:rsid w:val="003063BB"/>
    <w:rsid w:val="00315290"/>
    <w:rsid w:val="00317CCE"/>
    <w:rsid w:val="003202E2"/>
    <w:rsid w:val="003219EB"/>
    <w:rsid w:val="00321C25"/>
    <w:rsid w:val="00322C21"/>
    <w:rsid w:val="00331652"/>
    <w:rsid w:val="00331E9B"/>
    <w:rsid w:val="00331F24"/>
    <w:rsid w:val="00332CC7"/>
    <w:rsid w:val="003337BF"/>
    <w:rsid w:val="003350B0"/>
    <w:rsid w:val="003351F2"/>
    <w:rsid w:val="00335C04"/>
    <w:rsid w:val="0033632B"/>
    <w:rsid w:val="00337E67"/>
    <w:rsid w:val="00340257"/>
    <w:rsid w:val="003406EE"/>
    <w:rsid w:val="00340C40"/>
    <w:rsid w:val="0034206C"/>
    <w:rsid w:val="0034374A"/>
    <w:rsid w:val="00343C17"/>
    <w:rsid w:val="00344C31"/>
    <w:rsid w:val="00344D2E"/>
    <w:rsid w:val="00345607"/>
    <w:rsid w:val="00345CC9"/>
    <w:rsid w:val="003525A2"/>
    <w:rsid w:val="003538B7"/>
    <w:rsid w:val="00354BC8"/>
    <w:rsid w:val="00356182"/>
    <w:rsid w:val="00357B7F"/>
    <w:rsid w:val="003610F0"/>
    <w:rsid w:val="003640B7"/>
    <w:rsid w:val="0036570D"/>
    <w:rsid w:val="003663DF"/>
    <w:rsid w:val="003666C9"/>
    <w:rsid w:val="0037160B"/>
    <w:rsid w:val="00372F8D"/>
    <w:rsid w:val="00374EE1"/>
    <w:rsid w:val="00375BBC"/>
    <w:rsid w:val="00380F68"/>
    <w:rsid w:val="003819C6"/>
    <w:rsid w:val="00385CC9"/>
    <w:rsid w:val="00385DDA"/>
    <w:rsid w:val="00385F4F"/>
    <w:rsid w:val="00386F90"/>
    <w:rsid w:val="003878FE"/>
    <w:rsid w:val="0039153D"/>
    <w:rsid w:val="003922C7"/>
    <w:rsid w:val="003A69FA"/>
    <w:rsid w:val="003A6AA3"/>
    <w:rsid w:val="003B05FB"/>
    <w:rsid w:val="003B4382"/>
    <w:rsid w:val="003B449E"/>
    <w:rsid w:val="003C065F"/>
    <w:rsid w:val="003C096D"/>
    <w:rsid w:val="003C2219"/>
    <w:rsid w:val="003C318D"/>
    <w:rsid w:val="003C3C53"/>
    <w:rsid w:val="003C52BC"/>
    <w:rsid w:val="003C78B6"/>
    <w:rsid w:val="003D1EE8"/>
    <w:rsid w:val="003D3537"/>
    <w:rsid w:val="003D39A8"/>
    <w:rsid w:val="003D4FB0"/>
    <w:rsid w:val="003D6618"/>
    <w:rsid w:val="003E11CA"/>
    <w:rsid w:val="003E1259"/>
    <w:rsid w:val="003E1707"/>
    <w:rsid w:val="003E2BB8"/>
    <w:rsid w:val="003E3851"/>
    <w:rsid w:val="003E5BF5"/>
    <w:rsid w:val="003E7067"/>
    <w:rsid w:val="003E7984"/>
    <w:rsid w:val="003E79AE"/>
    <w:rsid w:val="003E7B3F"/>
    <w:rsid w:val="003F087E"/>
    <w:rsid w:val="003F12A1"/>
    <w:rsid w:val="003F3C69"/>
    <w:rsid w:val="003F4473"/>
    <w:rsid w:val="003F4FF5"/>
    <w:rsid w:val="003F53AD"/>
    <w:rsid w:val="003F6316"/>
    <w:rsid w:val="003F6E2B"/>
    <w:rsid w:val="003F72A9"/>
    <w:rsid w:val="00400859"/>
    <w:rsid w:val="004055FE"/>
    <w:rsid w:val="00405BC1"/>
    <w:rsid w:val="0040732E"/>
    <w:rsid w:val="00413348"/>
    <w:rsid w:val="00413AB0"/>
    <w:rsid w:val="00413D57"/>
    <w:rsid w:val="00414835"/>
    <w:rsid w:val="00414B70"/>
    <w:rsid w:val="00417677"/>
    <w:rsid w:val="0042355D"/>
    <w:rsid w:val="00424310"/>
    <w:rsid w:val="00424DD8"/>
    <w:rsid w:val="00424E7A"/>
    <w:rsid w:val="00425068"/>
    <w:rsid w:val="00425594"/>
    <w:rsid w:val="0042676D"/>
    <w:rsid w:val="00426E49"/>
    <w:rsid w:val="00432B61"/>
    <w:rsid w:val="00434666"/>
    <w:rsid w:val="00435780"/>
    <w:rsid w:val="00436A2D"/>
    <w:rsid w:val="00440505"/>
    <w:rsid w:val="00444C74"/>
    <w:rsid w:val="00445FD1"/>
    <w:rsid w:val="00447D55"/>
    <w:rsid w:val="00451894"/>
    <w:rsid w:val="0045284D"/>
    <w:rsid w:val="00452D68"/>
    <w:rsid w:val="00456519"/>
    <w:rsid w:val="0045793B"/>
    <w:rsid w:val="00457D65"/>
    <w:rsid w:val="004609E3"/>
    <w:rsid w:val="00460DF1"/>
    <w:rsid w:val="00460FC5"/>
    <w:rsid w:val="00465B03"/>
    <w:rsid w:val="00465BCC"/>
    <w:rsid w:val="0047015E"/>
    <w:rsid w:val="0047280A"/>
    <w:rsid w:val="00472FB4"/>
    <w:rsid w:val="00473506"/>
    <w:rsid w:val="00477C6A"/>
    <w:rsid w:val="00480794"/>
    <w:rsid w:val="00485DCF"/>
    <w:rsid w:val="00486040"/>
    <w:rsid w:val="0048746C"/>
    <w:rsid w:val="0049155A"/>
    <w:rsid w:val="00492594"/>
    <w:rsid w:val="00492B53"/>
    <w:rsid w:val="00492F29"/>
    <w:rsid w:val="00493C9B"/>
    <w:rsid w:val="00496764"/>
    <w:rsid w:val="00497817"/>
    <w:rsid w:val="00497FEB"/>
    <w:rsid w:val="004A2949"/>
    <w:rsid w:val="004A2E0A"/>
    <w:rsid w:val="004A4588"/>
    <w:rsid w:val="004A4F07"/>
    <w:rsid w:val="004A621F"/>
    <w:rsid w:val="004B2911"/>
    <w:rsid w:val="004B35EA"/>
    <w:rsid w:val="004B59F9"/>
    <w:rsid w:val="004B7F3F"/>
    <w:rsid w:val="004C0657"/>
    <w:rsid w:val="004C0DFC"/>
    <w:rsid w:val="004C0EBA"/>
    <w:rsid w:val="004C0F23"/>
    <w:rsid w:val="004C1948"/>
    <w:rsid w:val="004C7261"/>
    <w:rsid w:val="004C77BB"/>
    <w:rsid w:val="004D0BA4"/>
    <w:rsid w:val="004D3A46"/>
    <w:rsid w:val="004D3EA5"/>
    <w:rsid w:val="004D504A"/>
    <w:rsid w:val="004E5CD3"/>
    <w:rsid w:val="004F038B"/>
    <w:rsid w:val="004F3126"/>
    <w:rsid w:val="004F4AD1"/>
    <w:rsid w:val="0050258D"/>
    <w:rsid w:val="005027B9"/>
    <w:rsid w:val="00503627"/>
    <w:rsid w:val="00504298"/>
    <w:rsid w:val="005046A0"/>
    <w:rsid w:val="00504F5B"/>
    <w:rsid w:val="00505B6D"/>
    <w:rsid w:val="0050741B"/>
    <w:rsid w:val="005078D0"/>
    <w:rsid w:val="0051072E"/>
    <w:rsid w:val="00511323"/>
    <w:rsid w:val="00513C3D"/>
    <w:rsid w:val="00513D40"/>
    <w:rsid w:val="00513D5C"/>
    <w:rsid w:val="005215DF"/>
    <w:rsid w:val="0053355B"/>
    <w:rsid w:val="0053369D"/>
    <w:rsid w:val="00536007"/>
    <w:rsid w:val="00537D7C"/>
    <w:rsid w:val="0054068B"/>
    <w:rsid w:val="00542E8F"/>
    <w:rsid w:val="00543109"/>
    <w:rsid w:val="00543BEE"/>
    <w:rsid w:val="00543CB4"/>
    <w:rsid w:val="0054509A"/>
    <w:rsid w:val="0054614F"/>
    <w:rsid w:val="005475BC"/>
    <w:rsid w:val="00547995"/>
    <w:rsid w:val="00551621"/>
    <w:rsid w:val="00551838"/>
    <w:rsid w:val="00554188"/>
    <w:rsid w:val="00555B10"/>
    <w:rsid w:val="00556548"/>
    <w:rsid w:val="00557642"/>
    <w:rsid w:val="005610C8"/>
    <w:rsid w:val="00562073"/>
    <w:rsid w:val="00562996"/>
    <w:rsid w:val="00564FB8"/>
    <w:rsid w:val="00567956"/>
    <w:rsid w:val="005704A2"/>
    <w:rsid w:val="00570CB5"/>
    <w:rsid w:val="00572793"/>
    <w:rsid w:val="00572F62"/>
    <w:rsid w:val="00573650"/>
    <w:rsid w:val="00574554"/>
    <w:rsid w:val="0057490C"/>
    <w:rsid w:val="00576236"/>
    <w:rsid w:val="0057734D"/>
    <w:rsid w:val="005773E7"/>
    <w:rsid w:val="00581712"/>
    <w:rsid w:val="0058302B"/>
    <w:rsid w:val="00583E06"/>
    <w:rsid w:val="00584CF5"/>
    <w:rsid w:val="00585492"/>
    <w:rsid w:val="0058652B"/>
    <w:rsid w:val="005910E0"/>
    <w:rsid w:val="005921AF"/>
    <w:rsid w:val="005932F7"/>
    <w:rsid w:val="00593501"/>
    <w:rsid w:val="005941E2"/>
    <w:rsid w:val="00594AD8"/>
    <w:rsid w:val="005958C5"/>
    <w:rsid w:val="0059620C"/>
    <w:rsid w:val="005A2410"/>
    <w:rsid w:val="005A27B9"/>
    <w:rsid w:val="005A3348"/>
    <w:rsid w:val="005A4078"/>
    <w:rsid w:val="005A583F"/>
    <w:rsid w:val="005A5A10"/>
    <w:rsid w:val="005A5A71"/>
    <w:rsid w:val="005A6208"/>
    <w:rsid w:val="005A750D"/>
    <w:rsid w:val="005A7631"/>
    <w:rsid w:val="005B154D"/>
    <w:rsid w:val="005B5108"/>
    <w:rsid w:val="005B61E5"/>
    <w:rsid w:val="005B6B47"/>
    <w:rsid w:val="005C0536"/>
    <w:rsid w:val="005C0CB7"/>
    <w:rsid w:val="005C1184"/>
    <w:rsid w:val="005C12D6"/>
    <w:rsid w:val="005C2831"/>
    <w:rsid w:val="005C3073"/>
    <w:rsid w:val="005C447A"/>
    <w:rsid w:val="005C5FAF"/>
    <w:rsid w:val="005C6EDD"/>
    <w:rsid w:val="005D318B"/>
    <w:rsid w:val="005D42D1"/>
    <w:rsid w:val="005D55FF"/>
    <w:rsid w:val="005D6B99"/>
    <w:rsid w:val="005D6D97"/>
    <w:rsid w:val="005D70B3"/>
    <w:rsid w:val="005E291A"/>
    <w:rsid w:val="005E2DC6"/>
    <w:rsid w:val="005E36EB"/>
    <w:rsid w:val="005E4F51"/>
    <w:rsid w:val="005F249E"/>
    <w:rsid w:val="005F3B34"/>
    <w:rsid w:val="005F427E"/>
    <w:rsid w:val="005F6323"/>
    <w:rsid w:val="00601D24"/>
    <w:rsid w:val="006022E0"/>
    <w:rsid w:val="0060270D"/>
    <w:rsid w:val="00602FF5"/>
    <w:rsid w:val="0060312F"/>
    <w:rsid w:val="00603502"/>
    <w:rsid w:val="00603BA0"/>
    <w:rsid w:val="00603F5B"/>
    <w:rsid w:val="00605216"/>
    <w:rsid w:val="00610119"/>
    <w:rsid w:val="00610427"/>
    <w:rsid w:val="006109E7"/>
    <w:rsid w:val="006111D7"/>
    <w:rsid w:val="00611412"/>
    <w:rsid w:val="00611CF6"/>
    <w:rsid w:val="0061229E"/>
    <w:rsid w:val="006136A2"/>
    <w:rsid w:val="00613B45"/>
    <w:rsid w:val="00613DB9"/>
    <w:rsid w:val="00614617"/>
    <w:rsid w:val="00615AA2"/>
    <w:rsid w:val="00616972"/>
    <w:rsid w:val="00617D8E"/>
    <w:rsid w:val="00621117"/>
    <w:rsid w:val="00621D1E"/>
    <w:rsid w:val="0062224E"/>
    <w:rsid w:val="00623E80"/>
    <w:rsid w:val="006247A1"/>
    <w:rsid w:val="006265B5"/>
    <w:rsid w:val="00627002"/>
    <w:rsid w:val="0063245E"/>
    <w:rsid w:val="00635536"/>
    <w:rsid w:val="00635772"/>
    <w:rsid w:val="00635E32"/>
    <w:rsid w:val="00635EC3"/>
    <w:rsid w:val="00640AD8"/>
    <w:rsid w:val="006411F4"/>
    <w:rsid w:val="00643EC1"/>
    <w:rsid w:val="00644550"/>
    <w:rsid w:val="0064791E"/>
    <w:rsid w:val="0064794F"/>
    <w:rsid w:val="00650E46"/>
    <w:rsid w:val="0065221B"/>
    <w:rsid w:val="006554BA"/>
    <w:rsid w:val="00655ECF"/>
    <w:rsid w:val="006620C0"/>
    <w:rsid w:val="006643B7"/>
    <w:rsid w:val="006658F1"/>
    <w:rsid w:val="006676F9"/>
    <w:rsid w:val="00670CE2"/>
    <w:rsid w:val="00672449"/>
    <w:rsid w:val="006728FD"/>
    <w:rsid w:val="0067334C"/>
    <w:rsid w:val="00673D97"/>
    <w:rsid w:val="00673FA0"/>
    <w:rsid w:val="006742DA"/>
    <w:rsid w:val="00675107"/>
    <w:rsid w:val="00677A8D"/>
    <w:rsid w:val="00680228"/>
    <w:rsid w:val="00681652"/>
    <w:rsid w:val="006821FD"/>
    <w:rsid w:val="00682863"/>
    <w:rsid w:val="00682C59"/>
    <w:rsid w:val="00684846"/>
    <w:rsid w:val="006868A4"/>
    <w:rsid w:val="00693551"/>
    <w:rsid w:val="0069370F"/>
    <w:rsid w:val="00694294"/>
    <w:rsid w:val="006962E0"/>
    <w:rsid w:val="00697488"/>
    <w:rsid w:val="006A0450"/>
    <w:rsid w:val="006A158D"/>
    <w:rsid w:val="006A351E"/>
    <w:rsid w:val="006A3A5B"/>
    <w:rsid w:val="006A3CD6"/>
    <w:rsid w:val="006A4119"/>
    <w:rsid w:val="006B021A"/>
    <w:rsid w:val="006B0BBD"/>
    <w:rsid w:val="006B55D0"/>
    <w:rsid w:val="006C0635"/>
    <w:rsid w:val="006C0E41"/>
    <w:rsid w:val="006C793B"/>
    <w:rsid w:val="006D128D"/>
    <w:rsid w:val="006D1C7B"/>
    <w:rsid w:val="006D2404"/>
    <w:rsid w:val="006D2D66"/>
    <w:rsid w:val="006D66E9"/>
    <w:rsid w:val="006D7242"/>
    <w:rsid w:val="006D78E8"/>
    <w:rsid w:val="006E419D"/>
    <w:rsid w:val="006E454B"/>
    <w:rsid w:val="006E5AFB"/>
    <w:rsid w:val="006F1BE4"/>
    <w:rsid w:val="006F39C0"/>
    <w:rsid w:val="0070129D"/>
    <w:rsid w:val="00701DDD"/>
    <w:rsid w:val="007022C5"/>
    <w:rsid w:val="00702E02"/>
    <w:rsid w:val="00703B30"/>
    <w:rsid w:val="00705040"/>
    <w:rsid w:val="00705B4E"/>
    <w:rsid w:val="00705B66"/>
    <w:rsid w:val="0070669B"/>
    <w:rsid w:val="0071001D"/>
    <w:rsid w:val="00710179"/>
    <w:rsid w:val="00711950"/>
    <w:rsid w:val="007220D4"/>
    <w:rsid w:val="00722E20"/>
    <w:rsid w:val="007241C3"/>
    <w:rsid w:val="007253D3"/>
    <w:rsid w:val="00725A97"/>
    <w:rsid w:val="007303EF"/>
    <w:rsid w:val="007309D6"/>
    <w:rsid w:val="007312FD"/>
    <w:rsid w:val="007327E5"/>
    <w:rsid w:val="007341B6"/>
    <w:rsid w:val="0073598C"/>
    <w:rsid w:val="00736CA5"/>
    <w:rsid w:val="007371A7"/>
    <w:rsid w:val="00737328"/>
    <w:rsid w:val="0073745F"/>
    <w:rsid w:val="007428D7"/>
    <w:rsid w:val="007431A7"/>
    <w:rsid w:val="007450D7"/>
    <w:rsid w:val="007469FA"/>
    <w:rsid w:val="00746E34"/>
    <w:rsid w:val="00747621"/>
    <w:rsid w:val="00750F9B"/>
    <w:rsid w:val="00752A8D"/>
    <w:rsid w:val="00753A41"/>
    <w:rsid w:val="00760A39"/>
    <w:rsid w:val="00762F54"/>
    <w:rsid w:val="00763D4B"/>
    <w:rsid w:val="007649E9"/>
    <w:rsid w:val="007654A2"/>
    <w:rsid w:val="00766504"/>
    <w:rsid w:val="00767E3B"/>
    <w:rsid w:val="00770A2E"/>
    <w:rsid w:val="00775E02"/>
    <w:rsid w:val="007767ED"/>
    <w:rsid w:val="00777894"/>
    <w:rsid w:val="0078120B"/>
    <w:rsid w:val="0078137E"/>
    <w:rsid w:val="00786F2F"/>
    <w:rsid w:val="00792C78"/>
    <w:rsid w:val="00794776"/>
    <w:rsid w:val="007960C0"/>
    <w:rsid w:val="007A2CCE"/>
    <w:rsid w:val="007A4BCA"/>
    <w:rsid w:val="007A7025"/>
    <w:rsid w:val="007A76E7"/>
    <w:rsid w:val="007A782F"/>
    <w:rsid w:val="007B0019"/>
    <w:rsid w:val="007B118A"/>
    <w:rsid w:val="007B3302"/>
    <w:rsid w:val="007B3DC2"/>
    <w:rsid w:val="007B3E17"/>
    <w:rsid w:val="007B4237"/>
    <w:rsid w:val="007B6B15"/>
    <w:rsid w:val="007C0997"/>
    <w:rsid w:val="007C2283"/>
    <w:rsid w:val="007C5DEE"/>
    <w:rsid w:val="007C67AF"/>
    <w:rsid w:val="007C6F0D"/>
    <w:rsid w:val="007D1B35"/>
    <w:rsid w:val="007D3204"/>
    <w:rsid w:val="007D35F9"/>
    <w:rsid w:val="007D4714"/>
    <w:rsid w:val="007D706D"/>
    <w:rsid w:val="007D7652"/>
    <w:rsid w:val="007D78B3"/>
    <w:rsid w:val="007D7A7E"/>
    <w:rsid w:val="007E0158"/>
    <w:rsid w:val="007E1480"/>
    <w:rsid w:val="007E3066"/>
    <w:rsid w:val="007E30BD"/>
    <w:rsid w:val="007E3DC5"/>
    <w:rsid w:val="007E42BD"/>
    <w:rsid w:val="007E43E0"/>
    <w:rsid w:val="007E4AB0"/>
    <w:rsid w:val="007E58A4"/>
    <w:rsid w:val="007E7366"/>
    <w:rsid w:val="007F1192"/>
    <w:rsid w:val="007F1FEF"/>
    <w:rsid w:val="007F39E9"/>
    <w:rsid w:val="007F53A5"/>
    <w:rsid w:val="007F7B85"/>
    <w:rsid w:val="00800DD4"/>
    <w:rsid w:val="00801461"/>
    <w:rsid w:val="0080304B"/>
    <w:rsid w:val="0080327E"/>
    <w:rsid w:val="0080365B"/>
    <w:rsid w:val="008038A0"/>
    <w:rsid w:val="0080477E"/>
    <w:rsid w:val="00810DC8"/>
    <w:rsid w:val="00816DEE"/>
    <w:rsid w:val="008217B1"/>
    <w:rsid w:val="00821A40"/>
    <w:rsid w:val="00821F6F"/>
    <w:rsid w:val="00822F58"/>
    <w:rsid w:val="00822FDB"/>
    <w:rsid w:val="0082498E"/>
    <w:rsid w:val="00824A2E"/>
    <w:rsid w:val="00825799"/>
    <w:rsid w:val="008272B1"/>
    <w:rsid w:val="008338CF"/>
    <w:rsid w:val="00833C9B"/>
    <w:rsid w:val="00833E97"/>
    <w:rsid w:val="008341DE"/>
    <w:rsid w:val="00834A78"/>
    <w:rsid w:val="00834DAA"/>
    <w:rsid w:val="00841B13"/>
    <w:rsid w:val="00841CD4"/>
    <w:rsid w:val="00841EEB"/>
    <w:rsid w:val="00843911"/>
    <w:rsid w:val="00845C2A"/>
    <w:rsid w:val="00845D32"/>
    <w:rsid w:val="008464ED"/>
    <w:rsid w:val="00846C64"/>
    <w:rsid w:val="00846E9D"/>
    <w:rsid w:val="008515BB"/>
    <w:rsid w:val="00855E40"/>
    <w:rsid w:val="008565C8"/>
    <w:rsid w:val="00857363"/>
    <w:rsid w:val="0086084F"/>
    <w:rsid w:val="0086232D"/>
    <w:rsid w:val="00862C92"/>
    <w:rsid w:val="00862D3C"/>
    <w:rsid w:val="00863535"/>
    <w:rsid w:val="00863DEF"/>
    <w:rsid w:val="0086650E"/>
    <w:rsid w:val="00866CA8"/>
    <w:rsid w:val="00871910"/>
    <w:rsid w:val="00874009"/>
    <w:rsid w:val="00874C87"/>
    <w:rsid w:val="00876062"/>
    <w:rsid w:val="008763F0"/>
    <w:rsid w:val="00881045"/>
    <w:rsid w:val="00882E3E"/>
    <w:rsid w:val="0088440A"/>
    <w:rsid w:val="00887309"/>
    <w:rsid w:val="008877EB"/>
    <w:rsid w:val="00891DD2"/>
    <w:rsid w:val="008928C1"/>
    <w:rsid w:val="00893481"/>
    <w:rsid w:val="00893792"/>
    <w:rsid w:val="00894302"/>
    <w:rsid w:val="00894C46"/>
    <w:rsid w:val="00894EE0"/>
    <w:rsid w:val="00895AED"/>
    <w:rsid w:val="0089633E"/>
    <w:rsid w:val="00896DC2"/>
    <w:rsid w:val="00897B58"/>
    <w:rsid w:val="008A0D19"/>
    <w:rsid w:val="008A14F5"/>
    <w:rsid w:val="008A24E0"/>
    <w:rsid w:val="008A2CC9"/>
    <w:rsid w:val="008A2F74"/>
    <w:rsid w:val="008A7753"/>
    <w:rsid w:val="008B0570"/>
    <w:rsid w:val="008B15E9"/>
    <w:rsid w:val="008B4540"/>
    <w:rsid w:val="008B711F"/>
    <w:rsid w:val="008C0187"/>
    <w:rsid w:val="008C1072"/>
    <w:rsid w:val="008C1666"/>
    <w:rsid w:val="008C19F9"/>
    <w:rsid w:val="008C268B"/>
    <w:rsid w:val="008C4001"/>
    <w:rsid w:val="008C41A9"/>
    <w:rsid w:val="008C44DE"/>
    <w:rsid w:val="008C534F"/>
    <w:rsid w:val="008C73F3"/>
    <w:rsid w:val="008D0323"/>
    <w:rsid w:val="008D050C"/>
    <w:rsid w:val="008D1F7B"/>
    <w:rsid w:val="008D23BF"/>
    <w:rsid w:val="008D2ED7"/>
    <w:rsid w:val="008E04CB"/>
    <w:rsid w:val="008E209C"/>
    <w:rsid w:val="008E3888"/>
    <w:rsid w:val="008E45BD"/>
    <w:rsid w:val="008E49AC"/>
    <w:rsid w:val="008E4CFE"/>
    <w:rsid w:val="008E50A6"/>
    <w:rsid w:val="008E6B03"/>
    <w:rsid w:val="008F050C"/>
    <w:rsid w:val="008F2025"/>
    <w:rsid w:val="008F3879"/>
    <w:rsid w:val="008F4BD3"/>
    <w:rsid w:val="008F5D44"/>
    <w:rsid w:val="009015BF"/>
    <w:rsid w:val="00901617"/>
    <w:rsid w:val="0090259C"/>
    <w:rsid w:val="00902642"/>
    <w:rsid w:val="0090270B"/>
    <w:rsid w:val="00905934"/>
    <w:rsid w:val="00906005"/>
    <w:rsid w:val="009067E1"/>
    <w:rsid w:val="00911950"/>
    <w:rsid w:val="00913054"/>
    <w:rsid w:val="009134D5"/>
    <w:rsid w:val="009144C0"/>
    <w:rsid w:val="0091474F"/>
    <w:rsid w:val="009201C5"/>
    <w:rsid w:val="00920331"/>
    <w:rsid w:val="0092261F"/>
    <w:rsid w:val="009231A3"/>
    <w:rsid w:val="00924BB1"/>
    <w:rsid w:val="00924C82"/>
    <w:rsid w:val="00926575"/>
    <w:rsid w:val="00927014"/>
    <w:rsid w:val="009312AD"/>
    <w:rsid w:val="00931E62"/>
    <w:rsid w:val="00934C16"/>
    <w:rsid w:val="0093536E"/>
    <w:rsid w:val="00937CC5"/>
    <w:rsid w:val="00937DB7"/>
    <w:rsid w:val="00940770"/>
    <w:rsid w:val="00941DB8"/>
    <w:rsid w:val="0094205D"/>
    <w:rsid w:val="00943F75"/>
    <w:rsid w:val="00945335"/>
    <w:rsid w:val="009530A6"/>
    <w:rsid w:val="00956432"/>
    <w:rsid w:val="00960093"/>
    <w:rsid w:val="009611E9"/>
    <w:rsid w:val="00961AC6"/>
    <w:rsid w:val="0096347A"/>
    <w:rsid w:val="00963A19"/>
    <w:rsid w:val="00966F06"/>
    <w:rsid w:val="0097011D"/>
    <w:rsid w:val="00972746"/>
    <w:rsid w:val="00973466"/>
    <w:rsid w:val="00974EC9"/>
    <w:rsid w:val="009750A2"/>
    <w:rsid w:val="00981656"/>
    <w:rsid w:val="0098189C"/>
    <w:rsid w:val="00987263"/>
    <w:rsid w:val="00987A8F"/>
    <w:rsid w:val="00991858"/>
    <w:rsid w:val="00997A15"/>
    <w:rsid w:val="00997F0E"/>
    <w:rsid w:val="00997F50"/>
    <w:rsid w:val="009A1445"/>
    <w:rsid w:val="009A2092"/>
    <w:rsid w:val="009A55D7"/>
    <w:rsid w:val="009A6DBE"/>
    <w:rsid w:val="009A77AF"/>
    <w:rsid w:val="009B1E29"/>
    <w:rsid w:val="009B36D3"/>
    <w:rsid w:val="009B3D25"/>
    <w:rsid w:val="009B484C"/>
    <w:rsid w:val="009C009D"/>
    <w:rsid w:val="009C38A3"/>
    <w:rsid w:val="009C6A26"/>
    <w:rsid w:val="009C7AE4"/>
    <w:rsid w:val="009D00D5"/>
    <w:rsid w:val="009D0A36"/>
    <w:rsid w:val="009D2AB8"/>
    <w:rsid w:val="009D4F85"/>
    <w:rsid w:val="009D6C27"/>
    <w:rsid w:val="009E1AD3"/>
    <w:rsid w:val="009E2973"/>
    <w:rsid w:val="009E2EC9"/>
    <w:rsid w:val="009E3E61"/>
    <w:rsid w:val="009E4BEF"/>
    <w:rsid w:val="009E7051"/>
    <w:rsid w:val="009F1A35"/>
    <w:rsid w:val="009F53DA"/>
    <w:rsid w:val="009F5B1F"/>
    <w:rsid w:val="009F7EF9"/>
    <w:rsid w:val="00A00541"/>
    <w:rsid w:val="00A01686"/>
    <w:rsid w:val="00A0354A"/>
    <w:rsid w:val="00A04E4C"/>
    <w:rsid w:val="00A05538"/>
    <w:rsid w:val="00A0627B"/>
    <w:rsid w:val="00A067AD"/>
    <w:rsid w:val="00A06881"/>
    <w:rsid w:val="00A11875"/>
    <w:rsid w:val="00A11C80"/>
    <w:rsid w:val="00A11F43"/>
    <w:rsid w:val="00A12D92"/>
    <w:rsid w:val="00A14857"/>
    <w:rsid w:val="00A15409"/>
    <w:rsid w:val="00A15FC8"/>
    <w:rsid w:val="00A16063"/>
    <w:rsid w:val="00A21A77"/>
    <w:rsid w:val="00A221FF"/>
    <w:rsid w:val="00A2334D"/>
    <w:rsid w:val="00A259FA"/>
    <w:rsid w:val="00A25C7B"/>
    <w:rsid w:val="00A26D6F"/>
    <w:rsid w:val="00A27258"/>
    <w:rsid w:val="00A276F1"/>
    <w:rsid w:val="00A30F59"/>
    <w:rsid w:val="00A313D7"/>
    <w:rsid w:val="00A31BC7"/>
    <w:rsid w:val="00A32D9C"/>
    <w:rsid w:val="00A34A21"/>
    <w:rsid w:val="00A34C51"/>
    <w:rsid w:val="00A34C54"/>
    <w:rsid w:val="00A36704"/>
    <w:rsid w:val="00A36830"/>
    <w:rsid w:val="00A37CF6"/>
    <w:rsid w:val="00A453D5"/>
    <w:rsid w:val="00A45749"/>
    <w:rsid w:val="00A45E45"/>
    <w:rsid w:val="00A464E5"/>
    <w:rsid w:val="00A4746F"/>
    <w:rsid w:val="00A47769"/>
    <w:rsid w:val="00A53378"/>
    <w:rsid w:val="00A53B91"/>
    <w:rsid w:val="00A546F9"/>
    <w:rsid w:val="00A5742C"/>
    <w:rsid w:val="00A57B83"/>
    <w:rsid w:val="00A60A26"/>
    <w:rsid w:val="00A613FD"/>
    <w:rsid w:val="00A64831"/>
    <w:rsid w:val="00A66CF1"/>
    <w:rsid w:val="00A66D6C"/>
    <w:rsid w:val="00A677ED"/>
    <w:rsid w:val="00A70A75"/>
    <w:rsid w:val="00A7195A"/>
    <w:rsid w:val="00A722B0"/>
    <w:rsid w:val="00A72DD2"/>
    <w:rsid w:val="00A72DF4"/>
    <w:rsid w:val="00A72F64"/>
    <w:rsid w:val="00A7369F"/>
    <w:rsid w:val="00A74C0D"/>
    <w:rsid w:val="00A80374"/>
    <w:rsid w:val="00A83B26"/>
    <w:rsid w:val="00A83CFF"/>
    <w:rsid w:val="00A85DDD"/>
    <w:rsid w:val="00A86390"/>
    <w:rsid w:val="00A8692B"/>
    <w:rsid w:val="00A908A7"/>
    <w:rsid w:val="00A94181"/>
    <w:rsid w:val="00A95020"/>
    <w:rsid w:val="00A97BB0"/>
    <w:rsid w:val="00AA2B0D"/>
    <w:rsid w:val="00AA38B6"/>
    <w:rsid w:val="00AA3CB9"/>
    <w:rsid w:val="00AA624A"/>
    <w:rsid w:val="00AB0A6F"/>
    <w:rsid w:val="00AB1CCD"/>
    <w:rsid w:val="00AB7CDD"/>
    <w:rsid w:val="00AC274F"/>
    <w:rsid w:val="00AC4D13"/>
    <w:rsid w:val="00AC50E8"/>
    <w:rsid w:val="00AC6025"/>
    <w:rsid w:val="00AC640F"/>
    <w:rsid w:val="00AD0D2F"/>
    <w:rsid w:val="00AD373B"/>
    <w:rsid w:val="00AD400E"/>
    <w:rsid w:val="00AD4AB4"/>
    <w:rsid w:val="00AE1A5E"/>
    <w:rsid w:val="00AE3254"/>
    <w:rsid w:val="00AE40EC"/>
    <w:rsid w:val="00AE4B13"/>
    <w:rsid w:val="00AE5EB9"/>
    <w:rsid w:val="00AE7380"/>
    <w:rsid w:val="00AF1667"/>
    <w:rsid w:val="00AF46FB"/>
    <w:rsid w:val="00AF5C23"/>
    <w:rsid w:val="00AF6E95"/>
    <w:rsid w:val="00AF71E9"/>
    <w:rsid w:val="00AF7CB9"/>
    <w:rsid w:val="00B022E3"/>
    <w:rsid w:val="00B04A63"/>
    <w:rsid w:val="00B05434"/>
    <w:rsid w:val="00B1230A"/>
    <w:rsid w:val="00B12FDB"/>
    <w:rsid w:val="00B13B35"/>
    <w:rsid w:val="00B15E72"/>
    <w:rsid w:val="00B16C06"/>
    <w:rsid w:val="00B16F21"/>
    <w:rsid w:val="00B17BC7"/>
    <w:rsid w:val="00B210ED"/>
    <w:rsid w:val="00B21474"/>
    <w:rsid w:val="00B25FEE"/>
    <w:rsid w:val="00B31BBF"/>
    <w:rsid w:val="00B32743"/>
    <w:rsid w:val="00B35C2E"/>
    <w:rsid w:val="00B3713E"/>
    <w:rsid w:val="00B37F36"/>
    <w:rsid w:val="00B4288C"/>
    <w:rsid w:val="00B44057"/>
    <w:rsid w:val="00B44DB4"/>
    <w:rsid w:val="00B473B1"/>
    <w:rsid w:val="00B51A1E"/>
    <w:rsid w:val="00B543EF"/>
    <w:rsid w:val="00B55B61"/>
    <w:rsid w:val="00B577EF"/>
    <w:rsid w:val="00B629BE"/>
    <w:rsid w:val="00B64AEB"/>
    <w:rsid w:val="00B64D04"/>
    <w:rsid w:val="00B658E6"/>
    <w:rsid w:val="00B6681D"/>
    <w:rsid w:val="00B702BA"/>
    <w:rsid w:val="00B7244B"/>
    <w:rsid w:val="00B736CB"/>
    <w:rsid w:val="00B742CC"/>
    <w:rsid w:val="00B762F7"/>
    <w:rsid w:val="00B80249"/>
    <w:rsid w:val="00B802A9"/>
    <w:rsid w:val="00B80992"/>
    <w:rsid w:val="00B82AC7"/>
    <w:rsid w:val="00B84BAC"/>
    <w:rsid w:val="00B901E8"/>
    <w:rsid w:val="00B9024D"/>
    <w:rsid w:val="00B9187C"/>
    <w:rsid w:val="00B92FDD"/>
    <w:rsid w:val="00B973C9"/>
    <w:rsid w:val="00BA154E"/>
    <w:rsid w:val="00BA1BB6"/>
    <w:rsid w:val="00BA2193"/>
    <w:rsid w:val="00BA299C"/>
    <w:rsid w:val="00BA4442"/>
    <w:rsid w:val="00BA665A"/>
    <w:rsid w:val="00BB0BBA"/>
    <w:rsid w:val="00BB0CDA"/>
    <w:rsid w:val="00BB1DC6"/>
    <w:rsid w:val="00BB1F1A"/>
    <w:rsid w:val="00BB34AC"/>
    <w:rsid w:val="00BC05D7"/>
    <w:rsid w:val="00BC0E98"/>
    <w:rsid w:val="00BC0FBA"/>
    <w:rsid w:val="00BC1863"/>
    <w:rsid w:val="00BC387B"/>
    <w:rsid w:val="00BC6BB4"/>
    <w:rsid w:val="00BD0123"/>
    <w:rsid w:val="00BD0557"/>
    <w:rsid w:val="00BD26D5"/>
    <w:rsid w:val="00BD2C40"/>
    <w:rsid w:val="00BD2DB1"/>
    <w:rsid w:val="00BD46D3"/>
    <w:rsid w:val="00BD47C4"/>
    <w:rsid w:val="00BD6DD3"/>
    <w:rsid w:val="00BD78BD"/>
    <w:rsid w:val="00BE1A4B"/>
    <w:rsid w:val="00BE38FD"/>
    <w:rsid w:val="00BE58CE"/>
    <w:rsid w:val="00BE6BF1"/>
    <w:rsid w:val="00BF10A8"/>
    <w:rsid w:val="00BF5075"/>
    <w:rsid w:val="00BF651E"/>
    <w:rsid w:val="00BF6769"/>
    <w:rsid w:val="00BF7A32"/>
    <w:rsid w:val="00C013A9"/>
    <w:rsid w:val="00C01AB5"/>
    <w:rsid w:val="00C02A15"/>
    <w:rsid w:val="00C0331E"/>
    <w:rsid w:val="00C0358F"/>
    <w:rsid w:val="00C05B7C"/>
    <w:rsid w:val="00C063CB"/>
    <w:rsid w:val="00C06B51"/>
    <w:rsid w:val="00C134CC"/>
    <w:rsid w:val="00C1438A"/>
    <w:rsid w:val="00C14C2A"/>
    <w:rsid w:val="00C15D52"/>
    <w:rsid w:val="00C16C0C"/>
    <w:rsid w:val="00C16EDC"/>
    <w:rsid w:val="00C17472"/>
    <w:rsid w:val="00C17D8E"/>
    <w:rsid w:val="00C25088"/>
    <w:rsid w:val="00C25946"/>
    <w:rsid w:val="00C27904"/>
    <w:rsid w:val="00C316F4"/>
    <w:rsid w:val="00C33531"/>
    <w:rsid w:val="00C33F8C"/>
    <w:rsid w:val="00C33FD2"/>
    <w:rsid w:val="00C34375"/>
    <w:rsid w:val="00C34B76"/>
    <w:rsid w:val="00C362B5"/>
    <w:rsid w:val="00C36785"/>
    <w:rsid w:val="00C4070E"/>
    <w:rsid w:val="00C41010"/>
    <w:rsid w:val="00C41781"/>
    <w:rsid w:val="00C44CD2"/>
    <w:rsid w:val="00C45FA5"/>
    <w:rsid w:val="00C47131"/>
    <w:rsid w:val="00C50C54"/>
    <w:rsid w:val="00C56C9E"/>
    <w:rsid w:val="00C56DB3"/>
    <w:rsid w:val="00C578A7"/>
    <w:rsid w:val="00C60443"/>
    <w:rsid w:val="00C60888"/>
    <w:rsid w:val="00C60E00"/>
    <w:rsid w:val="00C60F9A"/>
    <w:rsid w:val="00C61601"/>
    <w:rsid w:val="00C61D18"/>
    <w:rsid w:val="00C61DFB"/>
    <w:rsid w:val="00C64444"/>
    <w:rsid w:val="00C6787B"/>
    <w:rsid w:val="00C7222B"/>
    <w:rsid w:val="00C8115C"/>
    <w:rsid w:val="00C81AA3"/>
    <w:rsid w:val="00C81E01"/>
    <w:rsid w:val="00C85D76"/>
    <w:rsid w:val="00C90984"/>
    <w:rsid w:val="00C90FB7"/>
    <w:rsid w:val="00C91735"/>
    <w:rsid w:val="00C9253F"/>
    <w:rsid w:val="00C926F5"/>
    <w:rsid w:val="00C93B6F"/>
    <w:rsid w:val="00CA12E9"/>
    <w:rsid w:val="00CA195F"/>
    <w:rsid w:val="00CA380F"/>
    <w:rsid w:val="00CA70AA"/>
    <w:rsid w:val="00CA7F9B"/>
    <w:rsid w:val="00CB09D7"/>
    <w:rsid w:val="00CB3DAB"/>
    <w:rsid w:val="00CB6C03"/>
    <w:rsid w:val="00CC0854"/>
    <w:rsid w:val="00CC0D79"/>
    <w:rsid w:val="00CC2D05"/>
    <w:rsid w:val="00CC2DE8"/>
    <w:rsid w:val="00CC3061"/>
    <w:rsid w:val="00CC3640"/>
    <w:rsid w:val="00CD2F8F"/>
    <w:rsid w:val="00CD4628"/>
    <w:rsid w:val="00CD4FCA"/>
    <w:rsid w:val="00CD528B"/>
    <w:rsid w:val="00CD6188"/>
    <w:rsid w:val="00CE3359"/>
    <w:rsid w:val="00CE3ABC"/>
    <w:rsid w:val="00CE5869"/>
    <w:rsid w:val="00CE68F7"/>
    <w:rsid w:val="00CE6AF2"/>
    <w:rsid w:val="00CE6DC9"/>
    <w:rsid w:val="00CE76C3"/>
    <w:rsid w:val="00CE7BA6"/>
    <w:rsid w:val="00CE7FAB"/>
    <w:rsid w:val="00CF0AB4"/>
    <w:rsid w:val="00CF171F"/>
    <w:rsid w:val="00CF756D"/>
    <w:rsid w:val="00D01754"/>
    <w:rsid w:val="00D01E4A"/>
    <w:rsid w:val="00D03E83"/>
    <w:rsid w:val="00D10665"/>
    <w:rsid w:val="00D12AC6"/>
    <w:rsid w:val="00D14DCE"/>
    <w:rsid w:val="00D15584"/>
    <w:rsid w:val="00D1578E"/>
    <w:rsid w:val="00D15C60"/>
    <w:rsid w:val="00D16FB1"/>
    <w:rsid w:val="00D17040"/>
    <w:rsid w:val="00D17954"/>
    <w:rsid w:val="00D2201F"/>
    <w:rsid w:val="00D222DC"/>
    <w:rsid w:val="00D22C7D"/>
    <w:rsid w:val="00D243D5"/>
    <w:rsid w:val="00D30057"/>
    <w:rsid w:val="00D33289"/>
    <w:rsid w:val="00D35AFD"/>
    <w:rsid w:val="00D366ED"/>
    <w:rsid w:val="00D36E56"/>
    <w:rsid w:val="00D407BC"/>
    <w:rsid w:val="00D40BDC"/>
    <w:rsid w:val="00D412D2"/>
    <w:rsid w:val="00D43459"/>
    <w:rsid w:val="00D4405C"/>
    <w:rsid w:val="00D45652"/>
    <w:rsid w:val="00D46502"/>
    <w:rsid w:val="00D46DEC"/>
    <w:rsid w:val="00D509FB"/>
    <w:rsid w:val="00D50D0C"/>
    <w:rsid w:val="00D52FFA"/>
    <w:rsid w:val="00D5551A"/>
    <w:rsid w:val="00D5618F"/>
    <w:rsid w:val="00D577F0"/>
    <w:rsid w:val="00D71188"/>
    <w:rsid w:val="00D731EB"/>
    <w:rsid w:val="00D75AED"/>
    <w:rsid w:val="00D7654E"/>
    <w:rsid w:val="00D77989"/>
    <w:rsid w:val="00D802E8"/>
    <w:rsid w:val="00D81411"/>
    <w:rsid w:val="00D81684"/>
    <w:rsid w:val="00D86592"/>
    <w:rsid w:val="00D90B99"/>
    <w:rsid w:val="00D93FA2"/>
    <w:rsid w:val="00D9400A"/>
    <w:rsid w:val="00D9628E"/>
    <w:rsid w:val="00DA1530"/>
    <w:rsid w:val="00DA2C50"/>
    <w:rsid w:val="00DA6947"/>
    <w:rsid w:val="00DA7784"/>
    <w:rsid w:val="00DB0B7D"/>
    <w:rsid w:val="00DB0C6E"/>
    <w:rsid w:val="00DB0E96"/>
    <w:rsid w:val="00DB1E34"/>
    <w:rsid w:val="00DC0235"/>
    <w:rsid w:val="00DC469F"/>
    <w:rsid w:val="00DC5C92"/>
    <w:rsid w:val="00DC79D9"/>
    <w:rsid w:val="00DD0EC2"/>
    <w:rsid w:val="00DD17F8"/>
    <w:rsid w:val="00DD20B1"/>
    <w:rsid w:val="00DD2B89"/>
    <w:rsid w:val="00DD63E0"/>
    <w:rsid w:val="00DD73F9"/>
    <w:rsid w:val="00DD7769"/>
    <w:rsid w:val="00DE040D"/>
    <w:rsid w:val="00DE4748"/>
    <w:rsid w:val="00DE5625"/>
    <w:rsid w:val="00DF1812"/>
    <w:rsid w:val="00DF2EA1"/>
    <w:rsid w:val="00DF70BB"/>
    <w:rsid w:val="00E00134"/>
    <w:rsid w:val="00E01E53"/>
    <w:rsid w:val="00E10751"/>
    <w:rsid w:val="00E1218C"/>
    <w:rsid w:val="00E13C60"/>
    <w:rsid w:val="00E15D6E"/>
    <w:rsid w:val="00E15F59"/>
    <w:rsid w:val="00E21A9A"/>
    <w:rsid w:val="00E21BA2"/>
    <w:rsid w:val="00E26CDA"/>
    <w:rsid w:val="00E26F02"/>
    <w:rsid w:val="00E30BF4"/>
    <w:rsid w:val="00E32491"/>
    <w:rsid w:val="00E34734"/>
    <w:rsid w:val="00E349BB"/>
    <w:rsid w:val="00E37171"/>
    <w:rsid w:val="00E37474"/>
    <w:rsid w:val="00E377B1"/>
    <w:rsid w:val="00E379C3"/>
    <w:rsid w:val="00E40099"/>
    <w:rsid w:val="00E41FAD"/>
    <w:rsid w:val="00E429B8"/>
    <w:rsid w:val="00E432D1"/>
    <w:rsid w:val="00E47DB4"/>
    <w:rsid w:val="00E509DF"/>
    <w:rsid w:val="00E50B16"/>
    <w:rsid w:val="00E51105"/>
    <w:rsid w:val="00E51F39"/>
    <w:rsid w:val="00E52D3A"/>
    <w:rsid w:val="00E55530"/>
    <w:rsid w:val="00E56631"/>
    <w:rsid w:val="00E61158"/>
    <w:rsid w:val="00E623FF"/>
    <w:rsid w:val="00E62D3F"/>
    <w:rsid w:val="00E62EB1"/>
    <w:rsid w:val="00E634E3"/>
    <w:rsid w:val="00E648ED"/>
    <w:rsid w:val="00E65AC8"/>
    <w:rsid w:val="00E66077"/>
    <w:rsid w:val="00E66D7D"/>
    <w:rsid w:val="00E731A3"/>
    <w:rsid w:val="00E74257"/>
    <w:rsid w:val="00E7448D"/>
    <w:rsid w:val="00E7459B"/>
    <w:rsid w:val="00E77C6D"/>
    <w:rsid w:val="00E80768"/>
    <w:rsid w:val="00E807F3"/>
    <w:rsid w:val="00E80B20"/>
    <w:rsid w:val="00E83C83"/>
    <w:rsid w:val="00E91109"/>
    <w:rsid w:val="00E92AE5"/>
    <w:rsid w:val="00E93798"/>
    <w:rsid w:val="00E9583E"/>
    <w:rsid w:val="00E96396"/>
    <w:rsid w:val="00E974BA"/>
    <w:rsid w:val="00EA14C5"/>
    <w:rsid w:val="00EA1A67"/>
    <w:rsid w:val="00EA445F"/>
    <w:rsid w:val="00EA4D08"/>
    <w:rsid w:val="00EA51FB"/>
    <w:rsid w:val="00EA6EB2"/>
    <w:rsid w:val="00EA7118"/>
    <w:rsid w:val="00EB0E91"/>
    <w:rsid w:val="00EB3DBB"/>
    <w:rsid w:val="00EB5842"/>
    <w:rsid w:val="00EB5F3D"/>
    <w:rsid w:val="00EB64FA"/>
    <w:rsid w:val="00EC1765"/>
    <w:rsid w:val="00EC1EEB"/>
    <w:rsid w:val="00EC3356"/>
    <w:rsid w:val="00EC4590"/>
    <w:rsid w:val="00EC5877"/>
    <w:rsid w:val="00EC77FF"/>
    <w:rsid w:val="00EC789A"/>
    <w:rsid w:val="00ED1D41"/>
    <w:rsid w:val="00ED22DA"/>
    <w:rsid w:val="00ED4B78"/>
    <w:rsid w:val="00ED61B8"/>
    <w:rsid w:val="00ED78ED"/>
    <w:rsid w:val="00ED7933"/>
    <w:rsid w:val="00EE1764"/>
    <w:rsid w:val="00EE29A7"/>
    <w:rsid w:val="00EE50C4"/>
    <w:rsid w:val="00EE51F6"/>
    <w:rsid w:val="00EF03CF"/>
    <w:rsid w:val="00EF0DDC"/>
    <w:rsid w:val="00EF0DE8"/>
    <w:rsid w:val="00EF10AF"/>
    <w:rsid w:val="00EF4B88"/>
    <w:rsid w:val="00EF4C5C"/>
    <w:rsid w:val="00EF657D"/>
    <w:rsid w:val="00EF76F3"/>
    <w:rsid w:val="00EF7B4D"/>
    <w:rsid w:val="00F00328"/>
    <w:rsid w:val="00F00572"/>
    <w:rsid w:val="00F02D8A"/>
    <w:rsid w:val="00F054D3"/>
    <w:rsid w:val="00F05E74"/>
    <w:rsid w:val="00F11689"/>
    <w:rsid w:val="00F16224"/>
    <w:rsid w:val="00F2000B"/>
    <w:rsid w:val="00F20891"/>
    <w:rsid w:val="00F243D2"/>
    <w:rsid w:val="00F259CB"/>
    <w:rsid w:val="00F268F7"/>
    <w:rsid w:val="00F26DF7"/>
    <w:rsid w:val="00F27A9A"/>
    <w:rsid w:val="00F30143"/>
    <w:rsid w:val="00F32A2C"/>
    <w:rsid w:val="00F349F5"/>
    <w:rsid w:val="00F34FAA"/>
    <w:rsid w:val="00F353C6"/>
    <w:rsid w:val="00F3599D"/>
    <w:rsid w:val="00F36513"/>
    <w:rsid w:val="00F37500"/>
    <w:rsid w:val="00F37B20"/>
    <w:rsid w:val="00F423AC"/>
    <w:rsid w:val="00F42661"/>
    <w:rsid w:val="00F437AF"/>
    <w:rsid w:val="00F45AD3"/>
    <w:rsid w:val="00F45EF3"/>
    <w:rsid w:val="00F46460"/>
    <w:rsid w:val="00F469B7"/>
    <w:rsid w:val="00F51593"/>
    <w:rsid w:val="00F51711"/>
    <w:rsid w:val="00F52D29"/>
    <w:rsid w:val="00F52E66"/>
    <w:rsid w:val="00F552BD"/>
    <w:rsid w:val="00F55A1A"/>
    <w:rsid w:val="00F570D4"/>
    <w:rsid w:val="00F60B98"/>
    <w:rsid w:val="00F62321"/>
    <w:rsid w:val="00F63756"/>
    <w:rsid w:val="00F6576B"/>
    <w:rsid w:val="00F65D87"/>
    <w:rsid w:val="00F673AC"/>
    <w:rsid w:val="00F71D92"/>
    <w:rsid w:val="00F727E3"/>
    <w:rsid w:val="00F7382B"/>
    <w:rsid w:val="00F76834"/>
    <w:rsid w:val="00F80339"/>
    <w:rsid w:val="00F80595"/>
    <w:rsid w:val="00F81E75"/>
    <w:rsid w:val="00F841B7"/>
    <w:rsid w:val="00F84606"/>
    <w:rsid w:val="00F8504C"/>
    <w:rsid w:val="00F86572"/>
    <w:rsid w:val="00F86847"/>
    <w:rsid w:val="00F93846"/>
    <w:rsid w:val="00F9482D"/>
    <w:rsid w:val="00FA04BF"/>
    <w:rsid w:val="00FA066C"/>
    <w:rsid w:val="00FA0A29"/>
    <w:rsid w:val="00FA18B4"/>
    <w:rsid w:val="00FA25BE"/>
    <w:rsid w:val="00FA2632"/>
    <w:rsid w:val="00FA5940"/>
    <w:rsid w:val="00FA6FAC"/>
    <w:rsid w:val="00FB3EB5"/>
    <w:rsid w:val="00FB4D99"/>
    <w:rsid w:val="00FC160B"/>
    <w:rsid w:val="00FC288F"/>
    <w:rsid w:val="00FC55D6"/>
    <w:rsid w:val="00FC6211"/>
    <w:rsid w:val="00FC692C"/>
    <w:rsid w:val="00FC6D71"/>
    <w:rsid w:val="00FD0FBC"/>
    <w:rsid w:val="00FD2D13"/>
    <w:rsid w:val="00FD331D"/>
    <w:rsid w:val="00FD3337"/>
    <w:rsid w:val="00FD34A4"/>
    <w:rsid w:val="00FD3B84"/>
    <w:rsid w:val="00FD5253"/>
    <w:rsid w:val="00FD5FF1"/>
    <w:rsid w:val="00FE20DD"/>
    <w:rsid w:val="00FE7673"/>
    <w:rsid w:val="00FE7761"/>
    <w:rsid w:val="00FF11BE"/>
    <w:rsid w:val="059FBBDE"/>
    <w:rsid w:val="0733BD6A"/>
    <w:rsid w:val="08B5C25E"/>
    <w:rsid w:val="0AC84EAE"/>
    <w:rsid w:val="0E0261BB"/>
    <w:rsid w:val="0EEBB8DA"/>
    <w:rsid w:val="0F8C6726"/>
    <w:rsid w:val="11D43E41"/>
    <w:rsid w:val="14EAFF26"/>
    <w:rsid w:val="16251C57"/>
    <w:rsid w:val="196F3246"/>
    <w:rsid w:val="1AC4BFCB"/>
    <w:rsid w:val="2B70A983"/>
    <w:rsid w:val="2DB17FBC"/>
    <w:rsid w:val="31E62521"/>
    <w:rsid w:val="38433B50"/>
    <w:rsid w:val="388F1968"/>
    <w:rsid w:val="39E661BF"/>
    <w:rsid w:val="3C7CC811"/>
    <w:rsid w:val="3C88ADC6"/>
    <w:rsid w:val="3CC5F3EB"/>
    <w:rsid w:val="3F2C4B6C"/>
    <w:rsid w:val="410EAEE3"/>
    <w:rsid w:val="4990A82D"/>
    <w:rsid w:val="49FCEA30"/>
    <w:rsid w:val="4A1B0B15"/>
    <w:rsid w:val="4D669436"/>
    <w:rsid w:val="4D755C88"/>
    <w:rsid w:val="543F24D8"/>
    <w:rsid w:val="58D05702"/>
    <w:rsid w:val="590266BA"/>
    <w:rsid w:val="5D555D24"/>
    <w:rsid w:val="620C4D90"/>
    <w:rsid w:val="6546D045"/>
    <w:rsid w:val="69098E15"/>
    <w:rsid w:val="6C17AED4"/>
    <w:rsid w:val="6E44A812"/>
    <w:rsid w:val="703EE783"/>
    <w:rsid w:val="7407AC3E"/>
    <w:rsid w:val="742E3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B142"/>
  <w15:docId w15:val="{915DCEEB-582D-49AB-BFB8-8DCB906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t-EE"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7B"/>
  </w:style>
  <w:style w:type="paragraph" w:styleId="Heading1">
    <w:name w:val="heading 1"/>
    <w:basedOn w:val="Normal"/>
    <w:next w:val="Normal"/>
    <w:link w:val="Heading1Char"/>
    <w:qFormat/>
    <w:rsid w:val="00A66A6D"/>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nhideWhenUsed/>
    <w:qFormat/>
    <w:rsid w:val="00A66A6D"/>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nhideWhenUsed/>
    <w:qFormat/>
    <w:rsid w:val="00A66A6D"/>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nhideWhenUsed/>
    <w:qFormat/>
    <w:rsid w:val="00A66A6D"/>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nhideWhenUsed/>
    <w:qFormat/>
    <w:rsid w:val="00A66A6D"/>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nhideWhenUsed/>
    <w:qFormat/>
    <w:rsid w:val="00A66A6D"/>
    <w:pPr>
      <w:spacing w:after="120"/>
      <w:jc w:val="center"/>
      <w:outlineLvl w:val="5"/>
    </w:pPr>
    <w:rPr>
      <w:caps/>
      <w:color w:val="C45911" w:themeColor="accent2" w:themeShade="BF"/>
      <w:spacing w:val="10"/>
    </w:rPr>
  </w:style>
  <w:style w:type="paragraph" w:styleId="Heading7">
    <w:name w:val="heading 7"/>
    <w:basedOn w:val="Normal"/>
    <w:next w:val="Normal"/>
    <w:link w:val="Heading7Char"/>
    <w:unhideWhenUsed/>
    <w:rsid w:val="00A66A6D"/>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nhideWhenUsed/>
    <w:rsid w:val="00A66A6D"/>
    <w:pPr>
      <w:spacing w:after="120"/>
      <w:jc w:val="center"/>
      <w:outlineLvl w:val="7"/>
    </w:pPr>
    <w:rPr>
      <w:caps/>
      <w:spacing w:val="10"/>
      <w:sz w:val="20"/>
      <w:szCs w:val="20"/>
    </w:rPr>
  </w:style>
  <w:style w:type="paragraph" w:styleId="Heading9">
    <w:name w:val="heading 9"/>
    <w:basedOn w:val="Normal"/>
    <w:next w:val="Normal"/>
    <w:link w:val="Heading9Char"/>
    <w:unhideWhenUsed/>
    <w:rsid w:val="00A66A6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66A6D"/>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Heading1Char">
    <w:name w:val="Heading 1 Char"/>
    <w:basedOn w:val="DefaultParagraphFont"/>
    <w:link w:val="Heading1"/>
    <w:uiPriority w:val="14"/>
    <w:rsid w:val="00A66A6D"/>
    <w:rPr>
      <w:rFonts w:ascii="Times New Roman" w:eastAsia="Times New Roman" w:hAnsi="Times New Roman" w:cs="Times New Roman"/>
      <w:caps/>
      <w:color w:val="833C0B" w:themeColor="accent2" w:themeShade="80"/>
      <w:spacing w:val="20"/>
      <w:sz w:val="28"/>
      <w:szCs w:val="28"/>
      <w:lang w:val="et-EE"/>
    </w:rPr>
  </w:style>
  <w:style w:type="character" w:customStyle="1" w:styleId="Heading2Char">
    <w:name w:val="Heading 2 Char"/>
    <w:basedOn w:val="DefaultParagraphFont"/>
    <w:link w:val="Heading2"/>
    <w:uiPriority w:val="14"/>
    <w:semiHidden/>
    <w:rsid w:val="00A66A6D"/>
    <w:rPr>
      <w:rFonts w:ascii="Times New Roman" w:eastAsia="Times New Roman" w:hAnsi="Times New Roman" w:cs="Times New Roman"/>
      <w:caps/>
      <w:color w:val="833C0B" w:themeColor="accent2" w:themeShade="80"/>
      <w:spacing w:val="15"/>
      <w:sz w:val="24"/>
      <w:szCs w:val="24"/>
      <w:lang w:val="et-EE"/>
    </w:rPr>
  </w:style>
  <w:style w:type="character" w:customStyle="1" w:styleId="Heading3Char">
    <w:name w:val="Heading 3 Char"/>
    <w:basedOn w:val="DefaultParagraphFont"/>
    <w:link w:val="Heading3"/>
    <w:uiPriority w:val="14"/>
    <w:semiHidden/>
    <w:rsid w:val="00A66A6D"/>
    <w:rPr>
      <w:rFonts w:ascii="Times New Roman" w:eastAsia="Times New Roman" w:hAnsi="Times New Roman" w:cs="Times New Roman"/>
      <w:caps/>
      <w:color w:val="823B0B" w:themeColor="accent2" w:themeShade="7F"/>
      <w:sz w:val="24"/>
      <w:szCs w:val="24"/>
      <w:lang w:val="et-EE"/>
    </w:rPr>
  </w:style>
  <w:style w:type="character" w:customStyle="1" w:styleId="Heading4Char">
    <w:name w:val="Heading 4 Char"/>
    <w:basedOn w:val="DefaultParagraphFont"/>
    <w:link w:val="Heading4"/>
    <w:uiPriority w:val="14"/>
    <w:semiHidden/>
    <w:rsid w:val="00A66A6D"/>
    <w:rPr>
      <w:rFonts w:ascii="Times New Roman" w:eastAsia="Times New Roman" w:hAnsi="Times New Roman" w:cs="Times New Roman"/>
      <w:caps/>
      <w:color w:val="823B0B" w:themeColor="accent2" w:themeShade="7F"/>
      <w:spacing w:val="10"/>
      <w:lang w:val="et-EE"/>
    </w:rPr>
  </w:style>
  <w:style w:type="character" w:customStyle="1" w:styleId="Heading5Char">
    <w:name w:val="Heading 5 Char"/>
    <w:basedOn w:val="DefaultParagraphFont"/>
    <w:link w:val="Heading5"/>
    <w:rsid w:val="00A66A6D"/>
    <w:rPr>
      <w:rFonts w:ascii="Times New Roman" w:eastAsia="Times New Roman" w:hAnsi="Times New Roman" w:cs="Times New Roman"/>
      <w:caps/>
      <w:color w:val="823B0B" w:themeColor="accent2" w:themeShade="7F"/>
      <w:spacing w:val="10"/>
      <w:lang w:val="et-EE"/>
    </w:rPr>
  </w:style>
  <w:style w:type="character" w:customStyle="1" w:styleId="Heading6Char">
    <w:name w:val="Heading 6 Char"/>
    <w:basedOn w:val="DefaultParagraphFont"/>
    <w:link w:val="Heading6"/>
    <w:rsid w:val="00A66A6D"/>
    <w:rPr>
      <w:rFonts w:ascii="Times New Roman" w:eastAsia="Times New Roman" w:hAnsi="Times New Roman" w:cs="Times New Roman"/>
      <w:caps/>
      <w:color w:val="C45911" w:themeColor="accent2" w:themeShade="BF"/>
      <w:spacing w:val="10"/>
      <w:lang w:val="et-EE"/>
    </w:rPr>
  </w:style>
  <w:style w:type="character" w:customStyle="1" w:styleId="Heading7Char">
    <w:name w:val="Heading 7 Char"/>
    <w:basedOn w:val="DefaultParagraphFont"/>
    <w:link w:val="Heading7"/>
    <w:rsid w:val="00A66A6D"/>
    <w:rPr>
      <w:rFonts w:ascii="Times New Roman" w:eastAsia="Times New Roman" w:hAnsi="Times New Roman" w:cs="Times New Roman"/>
      <w:i/>
      <w:iCs/>
      <w:caps/>
      <w:color w:val="C45911" w:themeColor="accent2" w:themeShade="BF"/>
      <w:spacing w:val="10"/>
      <w:lang w:val="et-EE"/>
    </w:rPr>
  </w:style>
  <w:style w:type="character" w:customStyle="1" w:styleId="Heading8Char">
    <w:name w:val="Heading 8 Char"/>
    <w:basedOn w:val="DefaultParagraphFont"/>
    <w:link w:val="Heading8"/>
    <w:rsid w:val="00A66A6D"/>
    <w:rPr>
      <w:rFonts w:ascii="Times New Roman" w:eastAsia="Times New Roman" w:hAnsi="Times New Roman" w:cs="Times New Roman"/>
      <w:caps/>
      <w:spacing w:val="10"/>
      <w:sz w:val="20"/>
      <w:szCs w:val="20"/>
      <w:lang w:val="et-EE"/>
    </w:rPr>
  </w:style>
  <w:style w:type="character" w:customStyle="1" w:styleId="Heading9Char">
    <w:name w:val="Heading 9 Char"/>
    <w:basedOn w:val="DefaultParagraphFont"/>
    <w:link w:val="Heading9"/>
    <w:rsid w:val="00A66A6D"/>
    <w:rPr>
      <w:rFonts w:ascii="Times New Roman" w:eastAsia="Times New Roman" w:hAnsi="Times New Roman" w:cs="Times New Roman"/>
      <w:i/>
      <w:iCs/>
      <w:caps/>
      <w:spacing w:val="10"/>
      <w:sz w:val="20"/>
      <w:szCs w:val="20"/>
      <w:lang w:val="et-EE"/>
    </w:rPr>
  </w:style>
  <w:style w:type="paragraph" w:customStyle="1" w:styleId="SLONormal">
    <w:name w:val="SLO Normal"/>
    <w:link w:val="SLONormalChar"/>
    <w:qFormat/>
    <w:rsid w:val="00A66A6D"/>
    <w:pPr>
      <w:spacing w:before="120" w:after="120"/>
      <w:jc w:val="both"/>
    </w:pPr>
    <w:rPr>
      <w:kern w:val="24"/>
      <w:szCs w:val="24"/>
      <w:lang w:val="en-GB"/>
    </w:rPr>
  </w:style>
  <w:style w:type="paragraph" w:customStyle="1" w:styleId="1stlevelheading">
    <w:name w:val="1st level (heading)"/>
    <w:next w:val="SLONormal"/>
    <w:link w:val="1stlevelheadingChar"/>
    <w:uiPriority w:val="1"/>
    <w:qFormat/>
    <w:rsid w:val="00A66A6D"/>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link w:val="2ndlevelheadingChar"/>
    <w:uiPriority w:val="1"/>
    <w:qFormat/>
    <w:rsid w:val="00A66A6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66A6D"/>
    <w:pPr>
      <w:numPr>
        <w:ilvl w:val="2"/>
      </w:numPr>
      <w:outlineLvl w:val="2"/>
    </w:pPr>
    <w:rPr>
      <w:i/>
    </w:rPr>
  </w:style>
  <w:style w:type="paragraph" w:customStyle="1" w:styleId="4thlevelheading">
    <w:name w:val="4th level (heading)"/>
    <w:basedOn w:val="3rdlevelheading"/>
    <w:next w:val="SLONormal"/>
    <w:uiPriority w:val="1"/>
    <w:qFormat/>
    <w:rsid w:val="00A66A6D"/>
    <w:pPr>
      <w:numPr>
        <w:ilvl w:val="3"/>
      </w:numPr>
      <w:spacing w:after="120"/>
      <w:outlineLvl w:val="3"/>
    </w:pPr>
    <w:rPr>
      <w:b w:val="0"/>
    </w:rPr>
  </w:style>
  <w:style w:type="paragraph" w:customStyle="1" w:styleId="5thlevelheading">
    <w:name w:val="5th level (heading)"/>
    <w:basedOn w:val="4thlevelheading"/>
    <w:next w:val="SLONormal"/>
    <w:uiPriority w:val="1"/>
    <w:qFormat/>
    <w:rsid w:val="00A66A6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66A6D"/>
    <w:pPr>
      <w:spacing w:before="120" w:after="120"/>
    </w:pPr>
    <w:rPr>
      <w:b w:val="0"/>
    </w:rPr>
  </w:style>
  <w:style w:type="paragraph" w:customStyle="1" w:styleId="3rdlevelsubprovision">
    <w:name w:val="3rd level (subprovision)"/>
    <w:basedOn w:val="3rdlevelheading"/>
    <w:link w:val="3rdlevelsubprovisionChar"/>
    <w:uiPriority w:val="2"/>
    <w:qFormat/>
    <w:rsid w:val="00A66A6D"/>
    <w:pPr>
      <w:spacing w:before="120" w:after="120"/>
    </w:pPr>
    <w:rPr>
      <w:b w:val="0"/>
      <w:i w:val="0"/>
    </w:rPr>
  </w:style>
  <w:style w:type="paragraph" w:customStyle="1" w:styleId="4thlevellist">
    <w:name w:val="4th level (list)"/>
    <w:basedOn w:val="4thlevelheading"/>
    <w:link w:val="4thlevellistChar"/>
    <w:uiPriority w:val="2"/>
    <w:qFormat/>
    <w:rsid w:val="00A66A6D"/>
    <w:pPr>
      <w:tabs>
        <w:tab w:val="left" w:pos="1928"/>
      </w:tabs>
      <w:spacing w:before="120"/>
    </w:pPr>
    <w:rPr>
      <w:i w:val="0"/>
    </w:rPr>
  </w:style>
  <w:style w:type="paragraph" w:customStyle="1" w:styleId="5thlevel">
    <w:name w:val="5th level"/>
    <w:basedOn w:val="5thlevelheading"/>
    <w:link w:val="5thlevelChar"/>
    <w:uiPriority w:val="2"/>
    <w:qFormat/>
    <w:rsid w:val="00A66A6D"/>
    <w:pPr>
      <w:spacing w:before="120"/>
    </w:pPr>
    <w:rPr>
      <w:u w:val="none"/>
    </w:rPr>
  </w:style>
  <w:style w:type="paragraph" w:customStyle="1" w:styleId="SLOReportTitle">
    <w:name w:val="SLO Report Title"/>
    <w:basedOn w:val="SLONormal"/>
    <w:next w:val="SLONormal"/>
    <w:uiPriority w:val="3"/>
    <w:qFormat/>
    <w:rsid w:val="00A66A6D"/>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A66A6D"/>
    <w:pPr>
      <w:jc w:val="center"/>
    </w:pPr>
  </w:style>
  <w:style w:type="paragraph" w:customStyle="1" w:styleId="SLOList">
    <w:name w:val="SLO List"/>
    <w:uiPriority w:val="4"/>
    <w:qFormat/>
    <w:rsid w:val="00A66A6D"/>
    <w:pPr>
      <w:numPr>
        <w:numId w:val="4"/>
      </w:numPr>
      <w:spacing w:before="60" w:after="60"/>
      <w:jc w:val="both"/>
    </w:pPr>
    <w:rPr>
      <w:kern w:val="24"/>
      <w:szCs w:val="24"/>
      <w:lang w:val="en-GB"/>
    </w:rPr>
  </w:style>
  <w:style w:type="paragraph" w:customStyle="1" w:styleId="SLONumberedList">
    <w:name w:val="SLO Numbered List"/>
    <w:uiPriority w:val="4"/>
    <w:qFormat/>
    <w:rsid w:val="00A66A6D"/>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A66A6D"/>
    <w:pPr>
      <w:numPr>
        <w:numId w:val="3"/>
      </w:numPr>
      <w:spacing w:before="60" w:after="60"/>
      <w:jc w:val="both"/>
    </w:pPr>
    <w:rPr>
      <w:kern w:val="24"/>
      <w:sz w:val="24"/>
      <w:szCs w:val="24"/>
      <w:lang w:val="en-GB"/>
    </w:rPr>
  </w:style>
  <w:style w:type="paragraph" w:styleId="FootnoteText">
    <w:name w:val="footnote text"/>
    <w:basedOn w:val="Normal"/>
    <w:link w:val="FootnoteTextChar"/>
    <w:uiPriority w:val="99"/>
    <w:qFormat/>
    <w:rsid w:val="00A66A6D"/>
    <w:rPr>
      <w:sz w:val="20"/>
      <w:szCs w:val="20"/>
      <w:lang w:val="lt-LT"/>
    </w:rPr>
  </w:style>
  <w:style w:type="character" w:customStyle="1" w:styleId="FootnoteTextChar">
    <w:name w:val="Footnote Text Char"/>
    <w:basedOn w:val="DefaultParagraphFont"/>
    <w:link w:val="FootnoteText"/>
    <w:uiPriority w:val="99"/>
    <w:rsid w:val="00A66A6D"/>
    <w:rPr>
      <w:sz w:val="20"/>
      <w:szCs w:val="20"/>
      <w:lang w:val="lt-LT"/>
    </w:rPr>
  </w:style>
  <w:style w:type="paragraph" w:customStyle="1" w:styleId="Agreement1stlevelheadingnonumber">
    <w:name w:val="Agreement 1st level (heading) no number"/>
    <w:basedOn w:val="1stlevelheading"/>
    <w:next w:val="SLONormal"/>
    <w:rsid w:val="00A66A6D"/>
    <w:pPr>
      <w:numPr>
        <w:numId w:val="0"/>
      </w:numPr>
    </w:pPr>
  </w:style>
  <w:style w:type="paragraph" w:customStyle="1" w:styleId="AgreementPartiesandRecitals">
    <w:name w:val="Agreement Parties and Recitals"/>
    <w:basedOn w:val="1stlevelheading"/>
    <w:rsid w:val="00A66A6D"/>
    <w:pPr>
      <w:numPr>
        <w:numId w:val="0"/>
      </w:numPr>
    </w:pPr>
  </w:style>
  <w:style w:type="paragraph" w:customStyle="1" w:styleId="HeadingofAppendix">
    <w:name w:val="Heading of Appendix"/>
    <w:next w:val="SLONormal"/>
    <w:rsid w:val="00A66A6D"/>
    <w:pPr>
      <w:keepNext/>
      <w:pageBreakBefore/>
      <w:numPr>
        <w:numId w:val="6"/>
      </w:numPr>
      <w:spacing w:before="360" w:after="360"/>
    </w:pPr>
    <w:rPr>
      <w:b/>
      <w:kern w:val="22"/>
      <w:sz w:val="24"/>
      <w:szCs w:val="24"/>
      <w:lang w:val="en-GB"/>
    </w:rPr>
  </w:style>
  <w:style w:type="paragraph" w:customStyle="1" w:styleId="SLOlistofparties">
    <w:name w:val="SLO list of parties"/>
    <w:rsid w:val="00A66A6D"/>
    <w:pPr>
      <w:numPr>
        <w:numId w:val="5"/>
      </w:numPr>
      <w:spacing w:before="120" w:after="120"/>
      <w:jc w:val="both"/>
    </w:pPr>
    <w:rPr>
      <w:kern w:val="24"/>
      <w:szCs w:val="24"/>
      <w:lang w:val="en-GB"/>
    </w:rPr>
  </w:style>
  <w:style w:type="paragraph" w:customStyle="1" w:styleId="SLOlistofrecitals">
    <w:name w:val="SLO list of recitals"/>
    <w:basedOn w:val="Normal"/>
    <w:rsid w:val="00A66A6D"/>
    <w:pPr>
      <w:numPr>
        <w:ilvl w:val="1"/>
        <w:numId w:val="5"/>
      </w:numPr>
      <w:spacing w:before="120" w:after="120"/>
      <w:jc w:val="both"/>
    </w:pPr>
  </w:style>
  <w:style w:type="paragraph" w:customStyle="1" w:styleId="TextofAppendixlevel1">
    <w:name w:val="Text of Appendix level 1"/>
    <w:basedOn w:val="HeadingofAppendix"/>
    <w:rsid w:val="00A66A6D"/>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A66A6D"/>
    <w:pPr>
      <w:numPr>
        <w:ilvl w:val="2"/>
      </w:numPr>
    </w:pPr>
  </w:style>
  <w:style w:type="paragraph" w:customStyle="1" w:styleId="TextofAppendixlevel3">
    <w:name w:val="Text of Appendix level 3"/>
    <w:basedOn w:val="TextofAppendixlevel2"/>
    <w:rsid w:val="00A66A6D"/>
    <w:pPr>
      <w:numPr>
        <w:ilvl w:val="3"/>
      </w:numPr>
    </w:pPr>
  </w:style>
  <w:style w:type="paragraph" w:customStyle="1" w:styleId="TextofAppendixlevel4">
    <w:name w:val="Text of Appendix level 4"/>
    <w:basedOn w:val="TextofAppendixlevel3"/>
    <w:rsid w:val="00A66A6D"/>
    <w:pPr>
      <w:numPr>
        <w:ilvl w:val="4"/>
      </w:numPr>
    </w:pPr>
  </w:style>
  <w:style w:type="paragraph" w:customStyle="1" w:styleId="2ndlevelnonumber">
    <w:name w:val="2nd level (no number)"/>
    <w:basedOn w:val="2ndlevelheading"/>
    <w:next w:val="SLONormal"/>
    <w:uiPriority w:val="9"/>
    <w:unhideWhenUsed/>
    <w:rsid w:val="00A66A6D"/>
    <w:pPr>
      <w:numPr>
        <w:ilvl w:val="0"/>
        <w:numId w:val="0"/>
      </w:numPr>
    </w:pPr>
  </w:style>
  <w:style w:type="paragraph" w:customStyle="1" w:styleId="LDDComment1">
    <w:name w:val="LDD Comment 1"/>
    <w:next w:val="Normal"/>
    <w:link w:val="LDDComment1CharChar"/>
    <w:rsid w:val="00A66A6D"/>
    <w:pPr>
      <w:keepNext/>
      <w:pBdr>
        <w:top w:val="single" w:sz="24" w:space="5" w:color="1F4999"/>
      </w:pBdr>
      <w:tabs>
        <w:tab w:val="num" w:pos="720"/>
      </w:tabs>
      <w:spacing w:before="120"/>
      <w:ind w:left="720" w:hanging="720"/>
      <w:jc w:val="both"/>
    </w:pPr>
    <w:rPr>
      <w:b/>
      <w:i/>
      <w:kern w:val="22"/>
      <w:sz w:val="18"/>
      <w:szCs w:val="24"/>
      <w:lang w:val="en-GB"/>
    </w:rPr>
  </w:style>
  <w:style w:type="character" w:customStyle="1" w:styleId="LDDComment1CharChar">
    <w:name w:val="LDD Comment 1 Char Char"/>
    <w:basedOn w:val="DefaultParagraphFont"/>
    <w:link w:val="LDDComment1"/>
    <w:locked/>
    <w:rsid w:val="00A66A6D"/>
    <w:rPr>
      <w:b/>
      <w:i/>
      <w:kern w:val="22"/>
      <w:sz w:val="18"/>
      <w:szCs w:val="24"/>
      <w:lang w:val="en-GB"/>
    </w:rPr>
  </w:style>
  <w:style w:type="paragraph" w:customStyle="1" w:styleId="LDDComment2">
    <w:name w:val="LDD Comment 2"/>
    <w:basedOn w:val="LDDComment1"/>
    <w:next w:val="Normal"/>
    <w:link w:val="LDDComment2Char"/>
    <w:rsid w:val="00A66A6D"/>
    <w:pPr>
      <w:numPr>
        <w:ilvl w:val="1"/>
      </w:numPr>
      <w:tabs>
        <w:tab w:val="num" w:pos="720"/>
      </w:tabs>
      <w:ind w:left="720" w:hanging="720"/>
    </w:pPr>
  </w:style>
  <w:style w:type="character" w:customStyle="1" w:styleId="LDDComment2Char">
    <w:name w:val="LDD Comment 2 Char"/>
    <w:basedOn w:val="LDDComment1CharChar"/>
    <w:link w:val="LDDComment2"/>
    <w:locked/>
    <w:rsid w:val="00A66A6D"/>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A66A6D"/>
    <w:pPr>
      <w:numPr>
        <w:ilvl w:val="2"/>
      </w:numPr>
      <w:tabs>
        <w:tab w:val="num" w:pos="720"/>
      </w:tabs>
      <w:ind w:left="720" w:hanging="720"/>
    </w:pPr>
  </w:style>
  <w:style w:type="character" w:customStyle="1" w:styleId="LDDComment3Char">
    <w:name w:val="LDD Comment 3 Char"/>
    <w:basedOn w:val="LDDComment2Char"/>
    <w:link w:val="LDDComment3"/>
    <w:locked/>
    <w:rsid w:val="00A66A6D"/>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A66A6D"/>
    <w:pPr>
      <w:numPr>
        <w:ilvl w:val="3"/>
      </w:numPr>
      <w:tabs>
        <w:tab w:val="num" w:pos="720"/>
      </w:tabs>
      <w:ind w:left="720" w:hanging="720"/>
    </w:pPr>
  </w:style>
  <w:style w:type="character" w:customStyle="1" w:styleId="LDDComment4Char">
    <w:name w:val="LDD Comment 4 Char"/>
    <w:basedOn w:val="LDDComment3Char"/>
    <w:link w:val="LDDComment4"/>
    <w:locked/>
    <w:rsid w:val="00A66A6D"/>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A66A6D"/>
    <w:rPr>
      <w:szCs w:val="24"/>
      <w:lang w:val="en-GB"/>
    </w:rPr>
  </w:style>
  <w:style w:type="paragraph" w:customStyle="1" w:styleId="SLONormalLarge">
    <w:name w:val="SLO Normal (Large)"/>
    <w:basedOn w:val="SLONormal"/>
    <w:rsid w:val="00A66A6D"/>
    <w:rPr>
      <w:sz w:val="24"/>
    </w:rPr>
  </w:style>
  <w:style w:type="paragraph" w:customStyle="1" w:styleId="SLONormalnospace">
    <w:name w:val="SLO Normal (no space)"/>
    <w:basedOn w:val="SLONormal"/>
    <w:rsid w:val="00A66A6D"/>
    <w:pPr>
      <w:spacing w:before="0" w:after="0"/>
    </w:pPr>
  </w:style>
  <w:style w:type="paragraph" w:customStyle="1" w:styleId="SLONormalSmall">
    <w:name w:val="SLO Normal (Small)"/>
    <w:basedOn w:val="SLONormal"/>
    <w:link w:val="SLONormalSmallChar"/>
    <w:rsid w:val="00A66A6D"/>
    <w:pPr>
      <w:spacing w:before="60" w:after="60"/>
    </w:pPr>
    <w:rPr>
      <w:sz w:val="20"/>
    </w:rPr>
  </w:style>
  <w:style w:type="character" w:customStyle="1" w:styleId="SLONormalSmallChar">
    <w:name w:val="SLO Normal (Small) Char"/>
    <w:basedOn w:val="DefaultParagraphFont"/>
    <w:link w:val="SLONormalSmall"/>
    <w:locked/>
    <w:rsid w:val="00A66A6D"/>
    <w:rPr>
      <w:rFonts w:ascii="Times New Roman" w:eastAsia="Times New Roman" w:hAnsi="Times New Roman" w:cs="Times New Roman"/>
      <w:kern w:val="24"/>
      <w:sz w:val="20"/>
      <w:szCs w:val="24"/>
      <w:lang w:val="en-GB"/>
    </w:rPr>
  </w:style>
  <w:style w:type="paragraph" w:customStyle="1" w:styleId="SLONormalWhite">
    <w:name w:val="SLO Normal White"/>
    <w:basedOn w:val="SLONormal"/>
    <w:rsid w:val="00A66A6D"/>
    <w:rPr>
      <w:color w:val="FFFFFF"/>
    </w:rPr>
  </w:style>
  <w:style w:type="character" w:customStyle="1" w:styleId="TitleChar">
    <w:name w:val="Title Char"/>
    <w:basedOn w:val="DefaultParagraphFont"/>
    <w:link w:val="Title"/>
    <w:uiPriority w:val="10"/>
    <w:rsid w:val="00A66A6D"/>
    <w:rPr>
      <w:rFonts w:ascii="Times New Roman" w:eastAsia="Times New Roman" w:hAnsi="Times New Roman" w:cs="Times New Roman"/>
      <w:caps/>
      <w:color w:val="833C0B" w:themeColor="accent2" w:themeShade="80"/>
      <w:spacing w:val="50"/>
      <w:sz w:val="44"/>
      <w:szCs w:val="44"/>
      <w:lang w:val="et-EE"/>
    </w:rPr>
  </w:style>
  <w:style w:type="paragraph" w:styleId="Subtitle">
    <w:name w:val="Subtitle"/>
    <w:basedOn w:val="Normal"/>
    <w:next w:val="Normal"/>
    <w:link w:val="SubtitleChar"/>
    <w:qFormat/>
    <w:pPr>
      <w:spacing w:after="560"/>
      <w:jc w:val="center"/>
    </w:pPr>
    <w:rPr>
      <w:smallCaps/>
      <w:sz w:val="18"/>
      <w:szCs w:val="18"/>
    </w:rPr>
  </w:style>
  <w:style w:type="character" w:customStyle="1" w:styleId="SubtitleChar">
    <w:name w:val="Subtitle Char"/>
    <w:basedOn w:val="DefaultParagraphFont"/>
    <w:link w:val="Subtitle"/>
    <w:uiPriority w:val="16"/>
    <w:rsid w:val="00A66A6D"/>
    <w:rPr>
      <w:rFonts w:ascii="Times New Roman" w:eastAsia="Times New Roman" w:hAnsi="Times New Roman" w:cs="Times New Roman"/>
      <w:caps/>
      <w:spacing w:val="20"/>
      <w:sz w:val="18"/>
      <w:szCs w:val="18"/>
      <w:lang w:val="et-EE"/>
    </w:rPr>
  </w:style>
  <w:style w:type="character" w:styleId="Strong">
    <w:name w:val="Strong"/>
    <w:uiPriority w:val="22"/>
    <w:unhideWhenUsed/>
    <w:qFormat/>
    <w:rsid w:val="00A66A6D"/>
    <w:rPr>
      <w:b/>
      <w:bCs/>
      <w:color w:val="C45911" w:themeColor="accent2" w:themeShade="BF"/>
      <w:spacing w:val="5"/>
    </w:rPr>
  </w:style>
  <w:style w:type="character" w:styleId="Emphasis">
    <w:name w:val="Emphasis"/>
    <w:uiPriority w:val="25"/>
    <w:unhideWhenUsed/>
    <w:rsid w:val="00A66A6D"/>
    <w:rPr>
      <w:caps/>
      <w:spacing w:val="5"/>
      <w:sz w:val="20"/>
      <w:szCs w:val="20"/>
    </w:rPr>
  </w:style>
  <w:style w:type="paragraph" w:styleId="NoSpacing">
    <w:name w:val="No Spacing"/>
    <w:basedOn w:val="Normal"/>
    <w:link w:val="NoSpacingChar"/>
    <w:uiPriority w:val="1"/>
    <w:unhideWhenUsed/>
    <w:rsid w:val="00A66A6D"/>
  </w:style>
  <w:style w:type="paragraph" w:styleId="ListParagraph">
    <w:name w:val="List Paragraph"/>
    <w:basedOn w:val="Normal"/>
    <w:uiPriority w:val="34"/>
    <w:unhideWhenUsed/>
    <w:qFormat/>
    <w:rsid w:val="00A66A6D"/>
    <w:pPr>
      <w:ind w:left="720"/>
      <w:contextualSpacing/>
    </w:pPr>
  </w:style>
  <w:style w:type="paragraph" w:styleId="Quote">
    <w:name w:val="Quote"/>
    <w:basedOn w:val="Normal"/>
    <w:next w:val="Normal"/>
    <w:link w:val="QuoteChar"/>
    <w:uiPriority w:val="34"/>
    <w:unhideWhenUsed/>
    <w:rsid w:val="00A66A6D"/>
    <w:rPr>
      <w:i/>
      <w:iCs/>
    </w:rPr>
  </w:style>
  <w:style w:type="character" w:customStyle="1" w:styleId="QuoteChar">
    <w:name w:val="Quote Char"/>
    <w:basedOn w:val="DefaultParagraphFont"/>
    <w:link w:val="Quote"/>
    <w:uiPriority w:val="34"/>
    <w:rsid w:val="00A66A6D"/>
    <w:rPr>
      <w:rFonts w:ascii="Times New Roman" w:eastAsia="Times New Roman" w:hAnsi="Times New Roman" w:cs="Times New Roman"/>
      <w:i/>
      <w:iCs/>
      <w:lang w:val="et-EE"/>
    </w:rPr>
  </w:style>
  <w:style w:type="paragraph" w:styleId="IntenseQuote">
    <w:name w:val="Intense Quote"/>
    <w:basedOn w:val="Normal"/>
    <w:next w:val="Normal"/>
    <w:link w:val="IntenseQuoteChar"/>
    <w:uiPriority w:val="35"/>
    <w:unhideWhenUsed/>
    <w:rsid w:val="00A66A6D"/>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5"/>
    <w:rsid w:val="00A66A6D"/>
    <w:rPr>
      <w:rFonts w:ascii="Times New Roman" w:eastAsia="Times New Roman" w:hAnsi="Times New Roman" w:cs="Times New Roman"/>
      <w:caps/>
      <w:color w:val="823B0B" w:themeColor="accent2" w:themeShade="7F"/>
      <w:spacing w:val="5"/>
      <w:sz w:val="20"/>
      <w:szCs w:val="20"/>
      <w:lang w:val="et-EE"/>
    </w:rPr>
  </w:style>
  <w:style w:type="character" w:styleId="SubtleEmphasis">
    <w:name w:val="Subtle Emphasis"/>
    <w:uiPriority w:val="24"/>
    <w:unhideWhenUsed/>
    <w:rsid w:val="00A66A6D"/>
    <w:rPr>
      <w:i/>
      <w:iCs/>
    </w:rPr>
  </w:style>
  <w:style w:type="character" w:styleId="IntenseEmphasis">
    <w:name w:val="Intense Emphasis"/>
    <w:uiPriority w:val="26"/>
    <w:unhideWhenUsed/>
    <w:rsid w:val="00A66A6D"/>
    <w:rPr>
      <w:i/>
      <w:iCs/>
      <w:caps/>
      <w:spacing w:val="10"/>
      <w:sz w:val="20"/>
      <w:szCs w:val="20"/>
    </w:rPr>
  </w:style>
  <w:style w:type="character" w:styleId="SubtleReference">
    <w:name w:val="Subtle Reference"/>
    <w:basedOn w:val="DefaultParagraphFont"/>
    <w:uiPriority w:val="36"/>
    <w:unhideWhenUsed/>
    <w:rsid w:val="00A66A6D"/>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A66A6D"/>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A66A6D"/>
    <w:rPr>
      <w:caps/>
      <w:color w:val="823B0B" w:themeColor="accent2" w:themeShade="7F"/>
      <w:spacing w:val="5"/>
      <w:u w:color="823B0B" w:themeColor="accent2" w:themeShade="7F"/>
    </w:rPr>
  </w:style>
  <w:style w:type="paragraph" w:styleId="TOCHeading">
    <w:name w:val="TOC Heading"/>
    <w:basedOn w:val="Heading1"/>
    <w:next w:val="Normal"/>
    <w:uiPriority w:val="44"/>
    <w:unhideWhenUsed/>
    <w:qFormat/>
    <w:rsid w:val="00243AB5"/>
    <w:pPr>
      <w:keepNext/>
      <w:keepLines/>
      <w:pBdr>
        <w:bottom w:val="none" w:sz="0" w:space="0" w:color="auto"/>
      </w:pBdr>
      <w:spacing w:before="480"/>
      <w:jc w:val="left"/>
      <w:outlineLvl w:val="9"/>
    </w:pPr>
    <w:rPr>
      <w:rFonts w:asciiTheme="majorHAnsi" w:eastAsiaTheme="majorEastAsia" w:hAnsiTheme="majorHAnsi" w:cstheme="majorBidi"/>
      <w:b/>
      <w:bCs/>
      <w:caps w:val="0"/>
      <w:color w:val="2E74B5" w:themeColor="accent1" w:themeShade="BF"/>
      <w:spacing w:val="0"/>
    </w:rPr>
  </w:style>
  <w:style w:type="paragraph" w:styleId="Caption">
    <w:name w:val="caption"/>
    <w:basedOn w:val="Normal"/>
    <w:next w:val="Normal"/>
    <w:uiPriority w:val="7"/>
    <w:semiHidden/>
    <w:unhideWhenUsed/>
    <w:qFormat/>
    <w:rsid w:val="00A66A6D"/>
    <w:pPr>
      <w:spacing w:after="200"/>
    </w:pPr>
    <w:rPr>
      <w:b/>
      <w:bCs/>
      <w:color w:val="5B9BD5" w:themeColor="accent1"/>
      <w:sz w:val="18"/>
      <w:szCs w:val="18"/>
    </w:rPr>
  </w:style>
  <w:style w:type="character" w:customStyle="1" w:styleId="NoSpacingChar">
    <w:name w:val="No Spacing Char"/>
    <w:basedOn w:val="DefaultParagraphFont"/>
    <w:link w:val="NoSpacing"/>
    <w:uiPriority w:val="1"/>
    <w:rsid w:val="00A66A6D"/>
    <w:rPr>
      <w:rFonts w:ascii="Times New Roman" w:eastAsia="Times New Roman" w:hAnsi="Times New Roman" w:cs="Times New Roman"/>
      <w:lang w:val="et-EE"/>
    </w:rPr>
  </w:style>
  <w:style w:type="character" w:customStyle="1" w:styleId="SLONormalChar">
    <w:name w:val="SLO Normal Char"/>
    <w:basedOn w:val="DefaultParagraphFont"/>
    <w:link w:val="SLONormal"/>
    <w:rsid w:val="00A66A6D"/>
    <w:rPr>
      <w:rFonts w:ascii="Times New Roman" w:eastAsia="Times New Roman" w:hAnsi="Times New Roman" w:cs="Times New Roman"/>
      <w:kern w:val="24"/>
      <w:szCs w:val="24"/>
      <w:lang w:val="en-GB"/>
    </w:rPr>
  </w:style>
  <w:style w:type="character" w:customStyle="1" w:styleId="2ndlevelprovisionChar">
    <w:name w:val="2nd level (provision) Char"/>
    <w:basedOn w:val="SLONormalChar"/>
    <w:link w:val="2ndlevelprovision"/>
    <w:uiPriority w:val="2"/>
    <w:rsid w:val="00A66A6D"/>
    <w:rPr>
      <w:rFonts w:ascii="Times New Roman" w:eastAsia="Times New Roman" w:hAnsi="Times New Roman" w:cs="Times New Roman"/>
      <w:kern w:val="24"/>
      <w:szCs w:val="24"/>
      <w:lang w:val="en-GB"/>
    </w:rPr>
  </w:style>
  <w:style w:type="character" w:customStyle="1" w:styleId="3rdlevelsubprovisionChar">
    <w:name w:val="3rd level (subprovision) Char"/>
    <w:basedOn w:val="SLONormalChar"/>
    <w:link w:val="3rdlevelsubprovision"/>
    <w:uiPriority w:val="2"/>
    <w:rsid w:val="00A66A6D"/>
    <w:rPr>
      <w:rFonts w:ascii="Times New Roman" w:eastAsia="Times New Roman" w:hAnsi="Times New Roman" w:cs="Times New Roman"/>
      <w:kern w:val="24"/>
      <w:szCs w:val="24"/>
      <w:lang w:val="en-GB"/>
    </w:rPr>
  </w:style>
  <w:style w:type="character" w:customStyle="1" w:styleId="4thlevellistChar">
    <w:name w:val="4th level (list) Char"/>
    <w:basedOn w:val="SLONormalChar"/>
    <w:link w:val="4thlevellist"/>
    <w:uiPriority w:val="2"/>
    <w:rsid w:val="00A66A6D"/>
    <w:rPr>
      <w:rFonts w:ascii="Times New Roman" w:eastAsia="Times New Roman" w:hAnsi="Times New Roman" w:cs="Times New Roman"/>
      <w:kern w:val="24"/>
      <w:szCs w:val="24"/>
      <w:lang w:val="en-GB"/>
    </w:rPr>
  </w:style>
  <w:style w:type="character" w:customStyle="1" w:styleId="5thlevelChar">
    <w:name w:val="5th level Char"/>
    <w:basedOn w:val="SLONormalChar"/>
    <w:link w:val="5thlevel"/>
    <w:uiPriority w:val="2"/>
    <w:rsid w:val="00A66A6D"/>
    <w:rPr>
      <w:rFonts w:ascii="Times New Roman" w:eastAsia="Times New Roman" w:hAnsi="Times New Roman" w:cs="Times New Roman"/>
      <w:kern w:val="24"/>
      <w:szCs w:val="24"/>
      <w:lang w:val="en-GB"/>
    </w:rPr>
  </w:style>
  <w:style w:type="paragraph" w:customStyle="1" w:styleId="4thlevelheadingnoindent">
    <w:name w:val="4th level (heading) no indent"/>
    <w:basedOn w:val="4thlevelheading"/>
    <w:next w:val="SLONormal"/>
    <w:uiPriority w:val="6"/>
    <w:rsid w:val="00A66A6D"/>
    <w:pPr>
      <w:ind w:left="851"/>
    </w:pPr>
  </w:style>
  <w:style w:type="paragraph" w:styleId="Header">
    <w:name w:val="header"/>
    <w:basedOn w:val="SLONormalSmall"/>
    <w:link w:val="HeaderChar"/>
    <w:uiPriority w:val="99"/>
    <w:rsid w:val="00A66A6D"/>
    <w:pPr>
      <w:tabs>
        <w:tab w:val="center" w:pos="4535"/>
        <w:tab w:val="right" w:pos="9071"/>
      </w:tabs>
    </w:pPr>
  </w:style>
  <w:style w:type="character" w:customStyle="1" w:styleId="HeaderChar">
    <w:name w:val="Header Char"/>
    <w:basedOn w:val="DefaultParagraphFont"/>
    <w:link w:val="Header"/>
    <w:uiPriority w:val="99"/>
    <w:rsid w:val="00A66A6D"/>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A66A6D"/>
    <w:pPr>
      <w:tabs>
        <w:tab w:val="center" w:pos="4535"/>
        <w:tab w:val="right" w:pos="9071"/>
      </w:tabs>
    </w:pPr>
  </w:style>
  <w:style w:type="character" w:customStyle="1" w:styleId="FooterChar">
    <w:name w:val="Footer Char"/>
    <w:basedOn w:val="DefaultParagraphFont"/>
    <w:link w:val="Footer"/>
    <w:rsid w:val="00A66A6D"/>
    <w:rPr>
      <w:rFonts w:ascii="Times New Roman" w:eastAsia="Times New Roman" w:hAnsi="Times New Roman" w:cs="Times New Roman"/>
      <w:kern w:val="24"/>
      <w:sz w:val="20"/>
      <w:szCs w:val="24"/>
      <w:lang w:val="en-GB"/>
    </w:rPr>
  </w:style>
  <w:style w:type="character" w:customStyle="1" w:styleId="SC">
    <w:name w:val="SC"/>
    <w:basedOn w:val="DefaultParagraphFont"/>
    <w:rsid w:val="00A66A6D"/>
    <w:rPr>
      <w:u w:val="single"/>
    </w:rPr>
  </w:style>
  <w:style w:type="paragraph" w:customStyle="1" w:styleId="SORAINENComment">
    <w:name w:val="SORAINEN Comment"/>
    <w:basedOn w:val="SLONormal"/>
    <w:rsid w:val="00A66A6D"/>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A66A6D"/>
    <w:pPr>
      <w:numPr>
        <w:numId w:val="9"/>
      </w:numPr>
    </w:pPr>
  </w:style>
  <w:style w:type="paragraph" w:customStyle="1" w:styleId="SLONormalCentered">
    <w:name w:val="SLO Normal (Centered)"/>
    <w:basedOn w:val="SLONormal"/>
    <w:uiPriority w:val="6"/>
    <w:rsid w:val="00A66A6D"/>
    <w:pPr>
      <w:jc w:val="center"/>
    </w:pPr>
  </w:style>
  <w:style w:type="paragraph" w:customStyle="1" w:styleId="SLONormalLeft">
    <w:name w:val="SLO Normal (Left)"/>
    <w:basedOn w:val="SLONormal"/>
    <w:uiPriority w:val="6"/>
    <w:rsid w:val="00A66A6D"/>
    <w:pPr>
      <w:jc w:val="left"/>
    </w:pPr>
  </w:style>
  <w:style w:type="paragraph" w:customStyle="1" w:styleId="SLONormalRight">
    <w:name w:val="SLO Normal (Right)"/>
    <w:basedOn w:val="SLONormal"/>
    <w:uiPriority w:val="6"/>
    <w:rsid w:val="00A66A6D"/>
    <w:pPr>
      <w:jc w:val="right"/>
    </w:pPr>
  </w:style>
  <w:style w:type="paragraph" w:customStyle="1" w:styleId="4thlevellistnoindent">
    <w:name w:val="4th level (list) no indent"/>
    <w:basedOn w:val="4thlevelheadingnoindent"/>
    <w:uiPriority w:val="6"/>
    <w:rsid w:val="00243AB5"/>
    <w:pPr>
      <w:numPr>
        <w:numId w:val="1"/>
      </w:numPr>
      <w:spacing w:before="120"/>
    </w:pPr>
    <w:rPr>
      <w:i w:val="0"/>
    </w:rPr>
  </w:style>
  <w:style w:type="paragraph" w:customStyle="1" w:styleId="5thlevelheadingnoindent">
    <w:name w:val="5th level (heading) no indent"/>
    <w:basedOn w:val="5thlevelheading"/>
    <w:next w:val="SLONormal"/>
    <w:uiPriority w:val="6"/>
    <w:rsid w:val="00243AB5"/>
    <w:pPr>
      <w:numPr>
        <w:numId w:val="1"/>
      </w:numPr>
    </w:pPr>
  </w:style>
  <w:style w:type="paragraph" w:customStyle="1" w:styleId="5thlevelnoindent">
    <w:name w:val="5th level no indent"/>
    <w:basedOn w:val="5thlevelheadingnoindent"/>
    <w:uiPriority w:val="6"/>
    <w:rsid w:val="00A66A6D"/>
    <w:pPr>
      <w:spacing w:before="120"/>
    </w:pPr>
    <w:rPr>
      <w:u w:val="none"/>
    </w:rPr>
  </w:style>
  <w:style w:type="paragraph" w:customStyle="1" w:styleId="NCNumbering11pt">
    <w:name w:val="NC Numbering 11pt"/>
    <w:basedOn w:val="NCNumbering"/>
    <w:link w:val="NCNumbering11ptChar"/>
    <w:uiPriority w:val="6"/>
    <w:rsid w:val="00A66A6D"/>
    <w:pPr>
      <w:ind w:left="567" w:hanging="567"/>
    </w:pPr>
  </w:style>
  <w:style w:type="character" w:customStyle="1" w:styleId="NCNumberingChar">
    <w:name w:val="NC Numbering Char"/>
    <w:basedOn w:val="DefaultParagraphFont"/>
    <w:link w:val="NCNumbering"/>
    <w:uiPriority w:val="4"/>
    <w:rsid w:val="00A66A6D"/>
    <w:rPr>
      <w:kern w:val="24"/>
      <w:sz w:val="24"/>
      <w:szCs w:val="24"/>
      <w:lang w:val="en-GB"/>
    </w:rPr>
  </w:style>
  <w:style w:type="character" w:customStyle="1" w:styleId="NCNumbering11ptChar">
    <w:name w:val="NC Numbering 11pt Char"/>
    <w:basedOn w:val="NCNumberingChar"/>
    <w:link w:val="NCNumbering11pt"/>
    <w:uiPriority w:val="6"/>
    <w:rsid w:val="00A66A6D"/>
    <w:rPr>
      <w:kern w:val="24"/>
      <w:sz w:val="24"/>
      <w:szCs w:val="24"/>
      <w:lang w:val="en-GB"/>
    </w:rPr>
  </w:style>
  <w:style w:type="paragraph" w:customStyle="1" w:styleId="SORLDDNormal">
    <w:name w:val="SOR_LDD_Normal"/>
    <w:uiPriority w:val="6"/>
    <w:rsid w:val="00A66A6D"/>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A66A6D"/>
    <w:pPr>
      <w:spacing w:after="0" w:line="305" w:lineRule="auto"/>
      <w:jc w:val="right"/>
    </w:pPr>
    <w:rPr>
      <w:sz w:val="20"/>
    </w:rPr>
  </w:style>
  <w:style w:type="paragraph" w:customStyle="1" w:styleId="SORLDDCommentText">
    <w:name w:val="SOR_LDD_Comment_Text"/>
    <w:uiPriority w:val="6"/>
    <w:rsid w:val="00A66A6D"/>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A66A6D"/>
    <w:pPr>
      <w:tabs>
        <w:tab w:val="num" w:pos="720"/>
      </w:tabs>
      <w:ind w:left="720" w:hanging="720"/>
      <w:contextualSpacing/>
    </w:pPr>
  </w:style>
  <w:style w:type="character" w:customStyle="1" w:styleId="SORLDDListParagraphChar">
    <w:name w:val="SOR_LDD_List Paragraph Char"/>
    <w:basedOn w:val="DefaultParagraphFont"/>
    <w:link w:val="SORLDDListParagraph"/>
    <w:uiPriority w:val="6"/>
    <w:rsid w:val="00A66A6D"/>
    <w:rPr>
      <w:rFonts w:ascii="Calibri" w:hAnsi="Calibri"/>
      <w:sz w:val="18"/>
      <w:lang w:val="en-GB"/>
    </w:rPr>
  </w:style>
  <w:style w:type="paragraph" w:customStyle="1" w:styleId="SORLDDListParagraph-Bold">
    <w:name w:val="SOR_LDD_List Paragraph - Bold"/>
    <w:basedOn w:val="SORLDDListParagraph"/>
    <w:next w:val="Quote"/>
    <w:rsid w:val="00A66A6D"/>
    <w:pPr>
      <w:tabs>
        <w:tab w:val="clear" w:pos="720"/>
      </w:tabs>
      <w:ind w:left="0" w:firstLine="0"/>
    </w:pPr>
    <w:rPr>
      <w:b/>
    </w:rPr>
  </w:style>
  <w:style w:type="paragraph" w:customStyle="1" w:styleId="SORLDDCommentTitle">
    <w:name w:val="SOR_LDD_Comment_Title"/>
    <w:basedOn w:val="SORLDDListParagraph-Bold"/>
    <w:next w:val="SORLDDCommentText"/>
    <w:uiPriority w:val="6"/>
    <w:rsid w:val="00A66A6D"/>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A66A6D"/>
    <w:pPr>
      <w:keepNext/>
      <w:keepLines/>
      <w:tabs>
        <w:tab w:val="num" w:pos="720"/>
      </w:tabs>
      <w:spacing w:before="120" w:after="480" w:line="220" w:lineRule="exact"/>
      <w:ind w:left="720" w:hanging="720"/>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A66A6D"/>
    <w:pPr>
      <w:tabs>
        <w:tab w:val="clear" w:pos="720"/>
      </w:tabs>
      <w:ind w:left="0" w:firstLine="0"/>
    </w:pPr>
  </w:style>
  <w:style w:type="paragraph" w:customStyle="1" w:styleId="SORLDDHeading2">
    <w:name w:val="SOR_LDD_Heading 2"/>
    <w:basedOn w:val="SORLDDHeading1"/>
    <w:next w:val="SORLDDNormal"/>
    <w:uiPriority w:val="6"/>
    <w:rsid w:val="00A66A6D"/>
    <w:pPr>
      <w:numPr>
        <w:ilvl w:val="1"/>
      </w:numPr>
      <w:tabs>
        <w:tab w:val="num" w:pos="720"/>
      </w:tabs>
      <w:spacing w:after="240"/>
      <w:ind w:left="720" w:hanging="720"/>
    </w:pPr>
    <w:rPr>
      <w:caps w:val="0"/>
      <w:sz w:val="20"/>
    </w:rPr>
  </w:style>
  <w:style w:type="paragraph" w:customStyle="1" w:styleId="SORLDDTableHead-B-W-Bold">
    <w:name w:val="SOR_LDD_Table Head - B-W-Bold"/>
    <w:basedOn w:val="SORLDDNormal"/>
    <w:rsid w:val="00A66A6D"/>
    <w:pPr>
      <w:tabs>
        <w:tab w:val="num" w:pos="720"/>
      </w:tabs>
      <w:ind w:left="720" w:hanging="720"/>
      <w:jc w:val="center"/>
    </w:pPr>
    <w:rPr>
      <w:color w:val="FFFFFF" w:themeColor="background1"/>
    </w:rPr>
  </w:style>
  <w:style w:type="paragraph" w:customStyle="1" w:styleId="SORLDDHeading2-Table">
    <w:name w:val="SOR_LDD_Heading 2 - Table"/>
    <w:basedOn w:val="SORLDDTableHead-B-W-Bold"/>
    <w:rsid w:val="00A66A6D"/>
    <w:pPr>
      <w:spacing w:before="120" w:after="120" w:line="240" w:lineRule="auto"/>
      <w:jc w:val="left"/>
    </w:pPr>
  </w:style>
  <w:style w:type="paragraph" w:customStyle="1" w:styleId="SORLDDHeading2ESNumbering">
    <w:name w:val="SOR_LDD_Heading 2_ES_Numbering"/>
    <w:basedOn w:val="SORLDDHeading2-Table"/>
    <w:uiPriority w:val="6"/>
    <w:rsid w:val="00A66A6D"/>
  </w:style>
  <w:style w:type="paragraph" w:customStyle="1" w:styleId="SORLDDHeading3">
    <w:name w:val="SOR_LDD_Heading 3"/>
    <w:basedOn w:val="SORLDDHeading2"/>
    <w:uiPriority w:val="6"/>
    <w:rsid w:val="00A66A6D"/>
    <w:pPr>
      <w:numPr>
        <w:ilvl w:val="2"/>
      </w:numPr>
      <w:tabs>
        <w:tab w:val="num" w:pos="720"/>
      </w:tabs>
      <w:spacing w:before="200" w:after="0"/>
      <w:ind w:left="720" w:hanging="720"/>
    </w:pPr>
    <w:rPr>
      <w:rFonts w:asciiTheme="majorHAnsi" w:hAnsiTheme="majorHAnsi"/>
      <w:color w:val="5B9BD5" w:themeColor="accent1"/>
      <w:sz w:val="18"/>
    </w:rPr>
  </w:style>
  <w:style w:type="paragraph" w:customStyle="1" w:styleId="SORLDDHeading4">
    <w:name w:val="SOR_LDD_Heading 4"/>
    <w:uiPriority w:val="6"/>
    <w:rsid w:val="00A66A6D"/>
    <w:pPr>
      <w:tabs>
        <w:tab w:val="num" w:pos="2880"/>
      </w:tabs>
      <w:spacing w:before="200"/>
      <w:ind w:left="2880" w:hanging="720"/>
    </w:pPr>
    <w:rPr>
      <w:rFonts w:asciiTheme="majorHAnsi" w:eastAsiaTheme="majorEastAsia" w:hAnsiTheme="majorHAnsi" w:cstheme="majorBidi"/>
      <w:i/>
      <w:iCs/>
      <w:color w:val="2E74B5" w:themeColor="accent1" w:themeShade="BF"/>
      <w:sz w:val="18"/>
      <w:lang w:val="en-GB"/>
    </w:rPr>
  </w:style>
  <w:style w:type="paragraph" w:customStyle="1" w:styleId="SORLDDHeading5">
    <w:name w:val="SOR_LDD_Heading 5"/>
    <w:uiPriority w:val="6"/>
    <w:rsid w:val="00A66A6D"/>
    <w:pPr>
      <w:keepNext/>
      <w:tabs>
        <w:tab w:val="num" w:pos="3600"/>
      </w:tabs>
      <w:spacing w:before="360" w:after="120" w:line="220" w:lineRule="exact"/>
      <w:ind w:left="3600" w:hanging="720"/>
    </w:pPr>
    <w:rPr>
      <w:rFonts w:asciiTheme="majorHAnsi" w:eastAsiaTheme="majorEastAsia" w:hAnsiTheme="majorHAnsi" w:cstheme="majorBidi"/>
      <w:b/>
      <w:iCs/>
      <w:sz w:val="18"/>
      <w:lang w:val="en-GB"/>
    </w:rPr>
  </w:style>
  <w:style w:type="paragraph" w:customStyle="1" w:styleId="SORLDDHeading6">
    <w:name w:val="SOR_LDD_Heading 6"/>
    <w:uiPriority w:val="6"/>
    <w:rsid w:val="00A66A6D"/>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A66A6D"/>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A66A6D"/>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A66A6D"/>
    <w:pPr>
      <w:numPr>
        <w:ilvl w:val="8"/>
        <w:numId w:val="7"/>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A66A6D"/>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A66A6D"/>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A66A6D"/>
    <w:pPr>
      <w:spacing w:before="3840"/>
    </w:pPr>
  </w:style>
  <w:style w:type="numbering" w:customStyle="1" w:styleId="SORLDDHeadings">
    <w:name w:val="SOR_LDD_Headings"/>
    <w:uiPriority w:val="99"/>
    <w:rsid w:val="00A66A6D"/>
  </w:style>
  <w:style w:type="paragraph" w:customStyle="1" w:styleId="SORLDDNoSpacing">
    <w:name w:val="SOR_LDD_No Spacing"/>
    <w:uiPriority w:val="6"/>
    <w:rsid w:val="00A66A6D"/>
    <w:rPr>
      <w:rFonts w:ascii="Calibri" w:eastAsiaTheme="minorEastAsia" w:hAnsi="Calibri"/>
      <w:sz w:val="18"/>
      <w:lang w:val="en-GB"/>
    </w:rPr>
  </w:style>
  <w:style w:type="paragraph" w:customStyle="1" w:styleId="SORLDDNormal-Centered">
    <w:name w:val="SOR_LDD_Normal - Centered"/>
    <w:basedOn w:val="SORLDDNormal"/>
    <w:uiPriority w:val="6"/>
    <w:rsid w:val="00A66A6D"/>
    <w:pPr>
      <w:jc w:val="center"/>
    </w:pPr>
  </w:style>
  <w:style w:type="paragraph" w:customStyle="1" w:styleId="SORLDDQuote">
    <w:name w:val="SOR_LDD_Quote"/>
    <w:basedOn w:val="Quote"/>
    <w:uiPriority w:val="6"/>
    <w:rsid w:val="00A66A6D"/>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A66A6D"/>
    <w:rPr>
      <w:rFonts w:ascii="Calibri" w:eastAsiaTheme="minorEastAsia" w:hAnsi="Calibri"/>
      <w:spacing w:val="15"/>
      <w:sz w:val="32"/>
      <w:lang w:val="en-GB"/>
    </w:rPr>
  </w:style>
  <w:style w:type="paragraph" w:customStyle="1" w:styleId="SORLDDTableBreak">
    <w:name w:val="SOR_LDD_Table Break"/>
    <w:basedOn w:val="SORLDDNormal"/>
    <w:rsid w:val="00A66A6D"/>
    <w:pPr>
      <w:spacing w:after="0" w:line="240" w:lineRule="auto"/>
    </w:pPr>
    <w:rPr>
      <w:sz w:val="8"/>
      <w:szCs w:val="8"/>
    </w:rPr>
  </w:style>
  <w:style w:type="paragraph" w:customStyle="1" w:styleId="SORLDDTableParagraph">
    <w:name w:val="SOR_LDD_Table Paragraph"/>
    <w:basedOn w:val="SORLDDNormal"/>
    <w:uiPriority w:val="1"/>
    <w:rsid w:val="00A66A6D"/>
    <w:pPr>
      <w:tabs>
        <w:tab w:val="left" w:pos="408"/>
        <w:tab w:val="num" w:pos="720"/>
      </w:tabs>
      <w:suppressAutoHyphens/>
      <w:ind w:left="720" w:hanging="720"/>
      <w:jc w:val="left"/>
    </w:pPr>
  </w:style>
  <w:style w:type="paragraph" w:customStyle="1" w:styleId="SORLDDTableParagraph-simplenumbering">
    <w:name w:val="SOR_LDD_Table Paragraph - simple numbering"/>
    <w:basedOn w:val="SORLDDTableParagraph"/>
    <w:uiPriority w:val="6"/>
    <w:rsid w:val="00A66A6D"/>
    <w:pPr>
      <w:tabs>
        <w:tab w:val="clear" w:pos="720"/>
        <w:tab w:val="num" w:pos="1440"/>
      </w:tabs>
      <w:ind w:left="1440"/>
    </w:pPr>
  </w:style>
  <w:style w:type="paragraph" w:customStyle="1" w:styleId="SORLDDTableParagraphlist">
    <w:name w:val="SOR_LDD_Table Paragraph_list"/>
    <w:basedOn w:val="SORLDDTableParagraph"/>
    <w:uiPriority w:val="6"/>
    <w:rsid w:val="00A66A6D"/>
    <w:pPr>
      <w:numPr>
        <w:ilvl w:val="1"/>
      </w:numPr>
      <w:tabs>
        <w:tab w:val="num" w:pos="720"/>
      </w:tabs>
      <w:ind w:left="720" w:hanging="720"/>
    </w:pPr>
  </w:style>
  <w:style w:type="paragraph" w:customStyle="1" w:styleId="SORLDDTableParagraphESImportance">
    <w:name w:val="SOR_LDD_Table_Paragraph_ES_Importance"/>
    <w:basedOn w:val="SORLDDTableParagraph"/>
    <w:uiPriority w:val="6"/>
    <w:rsid w:val="00A66A6D"/>
    <w:pPr>
      <w:tabs>
        <w:tab w:val="clear" w:pos="720"/>
      </w:tabs>
      <w:ind w:left="0" w:firstLine="0"/>
      <w:jc w:val="center"/>
    </w:pPr>
    <w:rPr>
      <w:b/>
    </w:rPr>
  </w:style>
  <w:style w:type="paragraph" w:customStyle="1" w:styleId="SORLDDTableParagraphESnumbering">
    <w:name w:val="SOR_LDD_Table_Paragraph_ES_numbering"/>
    <w:basedOn w:val="SORLDDTableParagraph"/>
    <w:uiPriority w:val="6"/>
    <w:rsid w:val="00A66A6D"/>
    <w:pPr>
      <w:tabs>
        <w:tab w:val="clear" w:pos="720"/>
        <w:tab w:val="num" w:pos="1440"/>
      </w:tabs>
      <w:ind w:left="1440"/>
    </w:pPr>
  </w:style>
  <w:style w:type="paragraph" w:customStyle="1" w:styleId="SORLDDTimelineArrowYear">
    <w:name w:val="SOR_LDD_Timeline_Arrow_Year"/>
    <w:basedOn w:val="Normal"/>
    <w:uiPriority w:val="6"/>
    <w:rsid w:val="00A66A6D"/>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Normal"/>
    <w:uiPriority w:val="6"/>
    <w:rsid w:val="00A66A6D"/>
    <w:pPr>
      <w:spacing w:after="80" w:line="180" w:lineRule="atLeast"/>
      <w:jc w:val="both"/>
    </w:pPr>
    <w:rPr>
      <w:rFonts w:ascii="Calibri" w:hAnsi="Calibri"/>
      <w:sz w:val="16"/>
      <w:szCs w:val="16"/>
      <w:lang w:val="en-GB"/>
    </w:rPr>
  </w:style>
  <w:style w:type="paragraph" w:customStyle="1" w:styleId="SORLDDTimelineEventYear">
    <w:name w:val="SOR_LDD_Timeline_Event_Year"/>
    <w:basedOn w:val="Normal"/>
    <w:next w:val="SORLDDTimelineEventText"/>
    <w:uiPriority w:val="6"/>
    <w:rsid w:val="00A66A6D"/>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Normal"/>
    <w:uiPriority w:val="6"/>
    <w:rsid w:val="00A66A6D"/>
    <w:pPr>
      <w:suppressAutoHyphens/>
      <w:spacing w:after="80"/>
    </w:pPr>
    <w:rPr>
      <w:rFonts w:ascii="Calibri" w:hAnsi="Calibri"/>
      <w:color w:val="DDDEDD"/>
      <w:sz w:val="72"/>
      <w:szCs w:val="72"/>
      <w:lang w:val="en-GB"/>
    </w:rPr>
  </w:style>
  <w:style w:type="paragraph" w:styleId="TOC1">
    <w:name w:val="toc 1"/>
    <w:basedOn w:val="Normal"/>
    <w:next w:val="SLONormal"/>
    <w:autoRedefine/>
    <w:uiPriority w:val="39"/>
    <w:rsid w:val="00F73F8C"/>
    <w:pPr>
      <w:tabs>
        <w:tab w:val="left" w:pos="709"/>
        <w:tab w:val="right" w:leader="dot" w:pos="9062"/>
      </w:tabs>
      <w:spacing w:before="120" w:after="120"/>
      <w:ind w:left="709" w:hanging="709"/>
    </w:pPr>
    <w:rPr>
      <w:b/>
      <w:bCs/>
      <w:caps/>
      <w:sz w:val="20"/>
      <w:szCs w:val="20"/>
      <w:lang w:eastAsia="et-EE"/>
    </w:rPr>
  </w:style>
  <w:style w:type="character" w:styleId="Hyperlink">
    <w:name w:val="Hyperlink"/>
    <w:uiPriority w:val="99"/>
    <w:rsid w:val="00C0045D"/>
    <w:rPr>
      <w:color w:val="0000FF"/>
      <w:u w:val="single"/>
    </w:rPr>
  </w:style>
  <w:style w:type="paragraph" w:styleId="BalloonText">
    <w:name w:val="Balloon Text"/>
    <w:basedOn w:val="Normal"/>
    <w:link w:val="BalloonTextChar"/>
    <w:uiPriority w:val="99"/>
    <w:semiHidden/>
    <w:unhideWhenUsed/>
    <w:rsid w:val="00C0045D"/>
    <w:rPr>
      <w:rFonts w:ascii="Tahoma" w:hAnsi="Tahoma" w:cs="Tahoma"/>
      <w:sz w:val="16"/>
      <w:szCs w:val="16"/>
    </w:rPr>
  </w:style>
  <w:style w:type="character" w:customStyle="1" w:styleId="BalloonTextChar">
    <w:name w:val="Balloon Text Char"/>
    <w:basedOn w:val="DefaultParagraphFont"/>
    <w:link w:val="BalloonText"/>
    <w:uiPriority w:val="99"/>
    <w:semiHidden/>
    <w:rsid w:val="00C0045D"/>
    <w:rPr>
      <w:rFonts w:ascii="Tahoma" w:eastAsia="Times New Roman" w:hAnsi="Tahoma" w:cs="Tahoma"/>
      <w:sz w:val="16"/>
      <w:szCs w:val="16"/>
      <w:lang w:val="et-EE"/>
    </w:rPr>
  </w:style>
  <w:style w:type="character" w:customStyle="1" w:styleId="1stlevelheadingChar">
    <w:name w:val="1st level (heading) Char"/>
    <w:basedOn w:val="DefaultParagraphFont"/>
    <w:link w:val="1stlevelheading"/>
    <w:uiPriority w:val="1"/>
    <w:rsid w:val="00C0045D"/>
    <w:rPr>
      <w:b/>
      <w:caps/>
      <w:spacing w:val="25"/>
      <w:kern w:val="24"/>
      <w:szCs w:val="24"/>
      <w:lang w:val="en-GB"/>
    </w:rPr>
  </w:style>
  <w:style w:type="paragraph" w:customStyle="1" w:styleId="SorainenComment0">
    <w:name w:val="Sorainen Comment"/>
    <w:basedOn w:val="SLONormal"/>
    <w:next w:val="Normal"/>
    <w:rsid w:val="00C0045D"/>
    <w:pPr>
      <w:pBdr>
        <w:top w:val="single" w:sz="4" w:space="1" w:color="auto"/>
        <w:left w:val="single" w:sz="4" w:space="4" w:color="auto"/>
        <w:bottom w:val="single" w:sz="4" w:space="1" w:color="auto"/>
        <w:right w:val="single" w:sz="4" w:space="4" w:color="auto"/>
      </w:pBdr>
      <w:shd w:val="clear" w:color="auto" w:fill="F3F3F3"/>
      <w:tabs>
        <w:tab w:val="num" w:pos="720"/>
      </w:tabs>
      <w:ind w:left="720" w:hanging="720"/>
    </w:pPr>
  </w:style>
  <w:style w:type="paragraph" w:customStyle="1" w:styleId="Default">
    <w:name w:val="Default"/>
    <w:rsid w:val="00C0045D"/>
    <w:pPr>
      <w:autoSpaceDE w:val="0"/>
      <w:autoSpaceDN w:val="0"/>
      <w:adjustRightInd w:val="0"/>
    </w:pPr>
    <w:rPr>
      <w:color w:val="000000"/>
      <w:sz w:val="24"/>
      <w:szCs w:val="24"/>
    </w:rPr>
  </w:style>
  <w:style w:type="character" w:customStyle="1" w:styleId="2ndlevelheadingChar">
    <w:name w:val="2nd level (heading) Char"/>
    <w:basedOn w:val="1stlevelheadingChar"/>
    <w:link w:val="2ndlevelheading"/>
    <w:uiPriority w:val="1"/>
    <w:rsid w:val="00C0045D"/>
    <w:rPr>
      <w:b/>
      <w:caps w:val="0"/>
      <w:spacing w:val="25"/>
      <w:kern w:val="24"/>
      <w:szCs w:val="24"/>
      <w:lang w:val="en-GB"/>
    </w:rPr>
  </w:style>
  <w:style w:type="paragraph" w:customStyle="1" w:styleId="CM1">
    <w:name w:val="CM1"/>
    <w:basedOn w:val="Default"/>
    <w:next w:val="Default"/>
    <w:uiPriority w:val="99"/>
    <w:rsid w:val="00C0045D"/>
    <w:rPr>
      <w:rFonts w:ascii="EUAlbertina" w:hAnsi="EUAlbertina"/>
      <w:color w:val="auto"/>
    </w:rPr>
  </w:style>
  <w:style w:type="paragraph" w:customStyle="1" w:styleId="CM3">
    <w:name w:val="CM3"/>
    <w:basedOn w:val="Default"/>
    <w:next w:val="Default"/>
    <w:uiPriority w:val="99"/>
    <w:rsid w:val="00C0045D"/>
    <w:rPr>
      <w:rFonts w:ascii="EUAlbertina" w:hAnsi="EUAlbertina"/>
      <w:color w:val="auto"/>
    </w:rPr>
  </w:style>
  <w:style w:type="table" w:styleId="TableGrid">
    <w:name w:val="Table Grid"/>
    <w:basedOn w:val="TableNormal"/>
    <w:uiPriority w:val="39"/>
    <w:rsid w:val="00C0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045D"/>
    <w:rPr>
      <w:sz w:val="16"/>
      <w:szCs w:val="16"/>
    </w:rPr>
  </w:style>
  <w:style w:type="paragraph" w:styleId="CommentText">
    <w:name w:val="annotation text"/>
    <w:basedOn w:val="Normal"/>
    <w:link w:val="CommentTextChar"/>
    <w:uiPriority w:val="99"/>
    <w:unhideWhenUsed/>
    <w:rsid w:val="00C0045D"/>
    <w:rPr>
      <w:sz w:val="20"/>
      <w:szCs w:val="20"/>
    </w:rPr>
  </w:style>
  <w:style w:type="character" w:customStyle="1" w:styleId="CommentTextChar">
    <w:name w:val="Comment Text Char"/>
    <w:basedOn w:val="DefaultParagraphFont"/>
    <w:link w:val="CommentText"/>
    <w:uiPriority w:val="99"/>
    <w:rsid w:val="00C0045D"/>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C0045D"/>
    <w:rPr>
      <w:b/>
      <w:bCs/>
    </w:rPr>
  </w:style>
  <w:style w:type="character" w:customStyle="1" w:styleId="CommentSubjectChar">
    <w:name w:val="Comment Subject Char"/>
    <w:basedOn w:val="CommentTextChar"/>
    <w:link w:val="CommentSubject"/>
    <w:uiPriority w:val="99"/>
    <w:semiHidden/>
    <w:rsid w:val="00C0045D"/>
    <w:rPr>
      <w:rFonts w:ascii="Times New Roman" w:eastAsia="Times New Roman" w:hAnsi="Times New Roman" w:cs="Times New Roman"/>
      <w:b/>
      <w:bCs/>
      <w:sz w:val="20"/>
      <w:szCs w:val="20"/>
      <w:lang w:val="et-EE"/>
    </w:rPr>
  </w:style>
  <w:style w:type="character" w:styleId="FootnoteReference">
    <w:name w:val="footnote reference"/>
    <w:basedOn w:val="DefaultParagraphFont"/>
    <w:uiPriority w:val="99"/>
    <w:semiHidden/>
    <w:unhideWhenUsed/>
    <w:rsid w:val="00C0045D"/>
    <w:rPr>
      <w:vertAlign w:val="superscript"/>
    </w:rPr>
  </w:style>
  <w:style w:type="paragraph" w:styleId="Revision">
    <w:name w:val="Revision"/>
    <w:hidden/>
    <w:uiPriority w:val="99"/>
    <w:semiHidden/>
    <w:rsid w:val="00522BE5"/>
  </w:style>
  <w:style w:type="paragraph" w:styleId="TOC2">
    <w:name w:val="toc 2"/>
    <w:basedOn w:val="Normal"/>
    <w:next w:val="Normal"/>
    <w:autoRedefine/>
    <w:uiPriority w:val="39"/>
    <w:unhideWhenUsed/>
    <w:rsid w:val="00AC28F1"/>
    <w:pPr>
      <w:spacing w:after="100"/>
      <w:ind w:left="220"/>
    </w:pPr>
  </w:style>
  <w:style w:type="paragraph" w:styleId="TOC3">
    <w:name w:val="toc 3"/>
    <w:basedOn w:val="Normal"/>
    <w:next w:val="Normal"/>
    <w:autoRedefine/>
    <w:uiPriority w:val="39"/>
    <w:unhideWhenUsed/>
    <w:rsid w:val="007D4E58"/>
    <w:pPr>
      <w:spacing w:after="100"/>
      <w:ind w:left="440"/>
    </w:pPr>
  </w:style>
  <w:style w:type="paragraph" w:styleId="TOC4">
    <w:name w:val="toc 4"/>
    <w:basedOn w:val="Normal"/>
    <w:next w:val="Normal"/>
    <w:autoRedefine/>
    <w:uiPriority w:val="39"/>
    <w:unhideWhenUsed/>
    <w:rsid w:val="007D4E58"/>
    <w:pPr>
      <w:spacing w:after="100" w:line="259" w:lineRule="auto"/>
      <w:ind w:left="660"/>
    </w:pPr>
    <w:rPr>
      <w:rFonts w:asciiTheme="minorHAnsi" w:eastAsiaTheme="minorEastAsia" w:hAnsiTheme="minorHAnsi" w:cstheme="minorBidi"/>
      <w:lang w:val="lt-LT"/>
    </w:rPr>
  </w:style>
  <w:style w:type="paragraph" w:styleId="TOC5">
    <w:name w:val="toc 5"/>
    <w:basedOn w:val="Normal"/>
    <w:next w:val="Normal"/>
    <w:autoRedefine/>
    <w:uiPriority w:val="39"/>
    <w:unhideWhenUsed/>
    <w:rsid w:val="007D4E58"/>
    <w:pPr>
      <w:spacing w:after="100" w:line="259" w:lineRule="auto"/>
      <w:ind w:left="880"/>
    </w:pPr>
    <w:rPr>
      <w:rFonts w:asciiTheme="minorHAnsi" w:eastAsiaTheme="minorEastAsia" w:hAnsiTheme="minorHAnsi" w:cstheme="minorBidi"/>
      <w:lang w:val="lt-LT"/>
    </w:rPr>
  </w:style>
  <w:style w:type="paragraph" w:styleId="TOC6">
    <w:name w:val="toc 6"/>
    <w:basedOn w:val="Normal"/>
    <w:next w:val="Normal"/>
    <w:autoRedefine/>
    <w:uiPriority w:val="39"/>
    <w:unhideWhenUsed/>
    <w:rsid w:val="007D4E58"/>
    <w:pPr>
      <w:spacing w:after="100" w:line="259" w:lineRule="auto"/>
      <w:ind w:left="1100"/>
    </w:pPr>
    <w:rPr>
      <w:rFonts w:asciiTheme="minorHAnsi" w:eastAsiaTheme="minorEastAsia" w:hAnsiTheme="minorHAnsi" w:cstheme="minorBidi"/>
      <w:lang w:val="lt-LT"/>
    </w:rPr>
  </w:style>
  <w:style w:type="paragraph" w:styleId="TOC7">
    <w:name w:val="toc 7"/>
    <w:basedOn w:val="Normal"/>
    <w:next w:val="Normal"/>
    <w:autoRedefine/>
    <w:uiPriority w:val="39"/>
    <w:unhideWhenUsed/>
    <w:rsid w:val="007D4E58"/>
    <w:pPr>
      <w:spacing w:after="100" w:line="259" w:lineRule="auto"/>
      <w:ind w:left="1320"/>
    </w:pPr>
    <w:rPr>
      <w:rFonts w:asciiTheme="minorHAnsi" w:eastAsiaTheme="minorEastAsia" w:hAnsiTheme="minorHAnsi" w:cstheme="minorBidi"/>
      <w:lang w:val="lt-LT"/>
    </w:rPr>
  </w:style>
  <w:style w:type="paragraph" w:styleId="TOC8">
    <w:name w:val="toc 8"/>
    <w:basedOn w:val="Normal"/>
    <w:next w:val="Normal"/>
    <w:autoRedefine/>
    <w:uiPriority w:val="39"/>
    <w:unhideWhenUsed/>
    <w:rsid w:val="007D4E58"/>
    <w:pPr>
      <w:spacing w:after="100" w:line="259" w:lineRule="auto"/>
      <w:ind w:left="1540"/>
    </w:pPr>
    <w:rPr>
      <w:rFonts w:asciiTheme="minorHAnsi" w:eastAsiaTheme="minorEastAsia" w:hAnsiTheme="minorHAnsi" w:cstheme="minorBidi"/>
      <w:lang w:val="lt-LT"/>
    </w:rPr>
  </w:style>
  <w:style w:type="paragraph" w:styleId="TOC9">
    <w:name w:val="toc 9"/>
    <w:basedOn w:val="Normal"/>
    <w:next w:val="Normal"/>
    <w:autoRedefine/>
    <w:uiPriority w:val="39"/>
    <w:unhideWhenUsed/>
    <w:rsid w:val="007D4E58"/>
    <w:pPr>
      <w:spacing w:after="100" w:line="259" w:lineRule="auto"/>
      <w:ind w:left="1760"/>
    </w:pPr>
    <w:rPr>
      <w:rFonts w:asciiTheme="minorHAnsi" w:eastAsiaTheme="minorEastAsia" w:hAnsiTheme="minorHAnsi" w:cstheme="minorBidi"/>
      <w:lang w:val="lt-LT"/>
    </w:rPr>
  </w:style>
  <w:style w:type="character" w:styleId="FollowedHyperlink">
    <w:name w:val="FollowedHyperlink"/>
    <w:basedOn w:val="DefaultParagraphFont"/>
    <w:uiPriority w:val="99"/>
    <w:semiHidden/>
    <w:unhideWhenUsed/>
    <w:rsid w:val="00433C17"/>
    <w:rPr>
      <w:color w:val="954F72" w:themeColor="followedHyperlink"/>
      <w:u w:val="single"/>
    </w:rPr>
  </w:style>
  <w:style w:type="paragraph" w:customStyle="1" w:styleId="SLOExhibitListENG">
    <w:name w:val="SLO_Exhibit_List_ENG"/>
    <w:basedOn w:val="SLONormal"/>
    <w:uiPriority w:val="6"/>
    <w:rsid w:val="00A66A6D"/>
    <w:pPr>
      <w:tabs>
        <w:tab w:val="num" w:pos="720"/>
      </w:tabs>
      <w:ind w:left="1417" w:hanging="1060"/>
      <w:jc w:val="left"/>
    </w:pPr>
  </w:style>
  <w:style w:type="paragraph" w:customStyle="1" w:styleId="SLOExhibitListEST">
    <w:name w:val="SLO_Exhibit_List_EST"/>
    <w:basedOn w:val="SLONormal"/>
    <w:uiPriority w:val="6"/>
    <w:rsid w:val="00A66A6D"/>
    <w:pPr>
      <w:tabs>
        <w:tab w:val="num" w:pos="720"/>
      </w:tabs>
      <w:ind w:left="1417" w:hanging="1060"/>
      <w:jc w:val="left"/>
    </w:pPr>
  </w:style>
  <w:style w:type="character" w:customStyle="1" w:styleId="Mention1">
    <w:name w:val="Mention1"/>
    <w:basedOn w:val="DefaultParagraphFont"/>
    <w:uiPriority w:val="99"/>
    <w:semiHidden/>
    <w:unhideWhenUsed/>
    <w:rsid w:val="005F7594"/>
    <w:rPr>
      <w:color w:val="2B579A"/>
      <w:shd w:val="clear" w:color="auto" w:fill="E6E6E6"/>
    </w:rPr>
  </w:style>
  <w:style w:type="character" w:customStyle="1" w:styleId="Mention2">
    <w:name w:val="Mention2"/>
    <w:basedOn w:val="DefaultParagraphFont"/>
    <w:uiPriority w:val="99"/>
    <w:semiHidden/>
    <w:unhideWhenUsed/>
    <w:rsid w:val="00F75129"/>
    <w:rPr>
      <w:color w:val="2B579A"/>
      <w:shd w:val="clear" w:color="auto" w:fill="E6E6E6"/>
    </w:rPr>
  </w:style>
  <w:style w:type="character" w:customStyle="1" w:styleId="UnresolvedMention1">
    <w:name w:val="Unresolved Mention1"/>
    <w:basedOn w:val="DefaultParagraphFont"/>
    <w:uiPriority w:val="99"/>
    <w:unhideWhenUsed/>
    <w:rsid w:val="00823118"/>
    <w:rPr>
      <w:color w:val="605E5C"/>
      <w:shd w:val="clear" w:color="auto" w:fill="E1DFDD"/>
    </w:rPr>
  </w:style>
  <w:style w:type="character" w:customStyle="1" w:styleId="Mention3">
    <w:name w:val="Mention3"/>
    <w:basedOn w:val="DefaultParagraphFont"/>
    <w:uiPriority w:val="99"/>
    <w:unhideWhenUsed/>
    <w:rsid w:val="00823118"/>
    <w:rPr>
      <w:color w:val="2B579A"/>
      <w:shd w:val="clear" w:color="auto" w:fill="E1DFDD"/>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taltipfb">
    <w:name w:val="taltipfb"/>
    <w:basedOn w:val="Normal"/>
    <w:rsid w:val="001971AF"/>
    <w:pPr>
      <w:spacing w:before="100" w:beforeAutospacing="1" w:after="100" w:afterAutospacing="1"/>
    </w:pPr>
    <w:rPr>
      <w:sz w:val="24"/>
      <w:szCs w:val="24"/>
      <w:lang w:val="lt-LT"/>
    </w:rPr>
  </w:style>
  <w:style w:type="paragraph" w:customStyle="1" w:styleId="tajtip">
    <w:name w:val="tajtip"/>
    <w:basedOn w:val="Normal"/>
    <w:rsid w:val="001971AF"/>
    <w:pPr>
      <w:spacing w:before="100" w:beforeAutospacing="1" w:after="100" w:afterAutospacing="1"/>
    </w:pPr>
    <w:rPr>
      <w:sz w:val="24"/>
      <w:szCs w:val="24"/>
      <w:lang w:val="lt-LT"/>
    </w:rPr>
  </w:style>
  <w:style w:type="paragraph" w:customStyle="1" w:styleId="BasicParagraph">
    <w:name w:val="[Basic Paragraph]"/>
    <w:basedOn w:val="Normal"/>
    <w:rsid w:val="00A66D6C"/>
    <w:pPr>
      <w:suppressAutoHyphens/>
      <w:autoSpaceDE w:val="0"/>
      <w:autoSpaceDN w:val="0"/>
      <w:adjustRightInd w:val="0"/>
      <w:spacing w:line="288" w:lineRule="auto"/>
      <w:textAlignment w:val="center"/>
    </w:pPr>
    <w:rPr>
      <w:color w:val="000000"/>
      <w:sz w:val="24"/>
      <w:szCs w:val="24"/>
      <w:lang w:val="lt-LT" w:eastAsia="en-US"/>
    </w:rPr>
  </w:style>
  <w:style w:type="paragraph" w:customStyle="1" w:styleId="Normal1">
    <w:name w:val="Normal1"/>
    <w:basedOn w:val="Normal"/>
    <w:rsid w:val="00A66D6C"/>
    <w:pPr>
      <w:spacing w:before="100" w:beforeAutospacing="1" w:after="100" w:afterAutospacing="1"/>
    </w:pPr>
    <w:rPr>
      <w:sz w:val="24"/>
      <w:szCs w:val="24"/>
      <w:lang w:val="en-US" w:eastAsia="en-US"/>
    </w:rPr>
  </w:style>
  <w:style w:type="character" w:customStyle="1" w:styleId="UnresolvedMention2">
    <w:name w:val="Unresolved Mention2"/>
    <w:basedOn w:val="DefaultParagraphFont"/>
    <w:uiPriority w:val="99"/>
    <w:semiHidden/>
    <w:unhideWhenUsed/>
    <w:rsid w:val="00F9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0586">
      <w:bodyDiv w:val="1"/>
      <w:marLeft w:val="0"/>
      <w:marRight w:val="0"/>
      <w:marTop w:val="0"/>
      <w:marBottom w:val="0"/>
      <w:divBdr>
        <w:top w:val="none" w:sz="0" w:space="0" w:color="auto"/>
        <w:left w:val="none" w:sz="0" w:space="0" w:color="auto"/>
        <w:bottom w:val="none" w:sz="0" w:space="0" w:color="auto"/>
        <w:right w:val="none" w:sz="0" w:space="0" w:color="auto"/>
      </w:divBdr>
    </w:div>
    <w:div w:id="447047462">
      <w:bodyDiv w:val="1"/>
      <w:marLeft w:val="0"/>
      <w:marRight w:val="0"/>
      <w:marTop w:val="0"/>
      <w:marBottom w:val="0"/>
      <w:divBdr>
        <w:top w:val="none" w:sz="0" w:space="0" w:color="auto"/>
        <w:left w:val="none" w:sz="0" w:space="0" w:color="auto"/>
        <w:bottom w:val="none" w:sz="0" w:space="0" w:color="auto"/>
        <w:right w:val="none" w:sz="0" w:space="0" w:color="auto"/>
      </w:divBdr>
    </w:div>
    <w:div w:id="1132791205">
      <w:bodyDiv w:val="1"/>
      <w:marLeft w:val="0"/>
      <w:marRight w:val="0"/>
      <w:marTop w:val="0"/>
      <w:marBottom w:val="0"/>
      <w:divBdr>
        <w:top w:val="none" w:sz="0" w:space="0" w:color="auto"/>
        <w:left w:val="none" w:sz="0" w:space="0" w:color="auto"/>
        <w:bottom w:val="none" w:sz="0" w:space="0" w:color="auto"/>
        <w:right w:val="none" w:sz="0" w:space="0" w:color="auto"/>
      </w:divBdr>
    </w:div>
    <w:div w:id="1352226362">
      <w:bodyDiv w:val="1"/>
      <w:marLeft w:val="0"/>
      <w:marRight w:val="0"/>
      <w:marTop w:val="0"/>
      <w:marBottom w:val="0"/>
      <w:divBdr>
        <w:top w:val="none" w:sz="0" w:space="0" w:color="auto"/>
        <w:left w:val="none" w:sz="0" w:space="0" w:color="auto"/>
        <w:bottom w:val="none" w:sz="0" w:space="0" w:color="auto"/>
        <w:right w:val="none" w:sz="0" w:space="0" w:color="auto"/>
      </w:divBdr>
      <w:divsChild>
        <w:div w:id="886726511">
          <w:marLeft w:val="360"/>
          <w:marRight w:val="0"/>
          <w:marTop w:val="200"/>
          <w:marBottom w:val="0"/>
          <w:divBdr>
            <w:top w:val="none" w:sz="0" w:space="0" w:color="auto"/>
            <w:left w:val="none" w:sz="0" w:space="0" w:color="auto"/>
            <w:bottom w:val="none" w:sz="0" w:space="0" w:color="auto"/>
            <w:right w:val="none" w:sz="0" w:space="0" w:color="auto"/>
          </w:divBdr>
        </w:div>
      </w:divsChild>
    </w:div>
    <w:div w:id="1555119797">
      <w:bodyDiv w:val="1"/>
      <w:marLeft w:val="0"/>
      <w:marRight w:val="0"/>
      <w:marTop w:val="0"/>
      <w:marBottom w:val="0"/>
      <w:divBdr>
        <w:top w:val="none" w:sz="0" w:space="0" w:color="auto"/>
        <w:left w:val="none" w:sz="0" w:space="0" w:color="auto"/>
        <w:bottom w:val="none" w:sz="0" w:space="0" w:color="auto"/>
        <w:right w:val="none" w:sz="0" w:space="0" w:color="auto"/>
      </w:divBdr>
      <w:divsChild>
        <w:div w:id="136339135">
          <w:marLeft w:val="0"/>
          <w:marRight w:val="0"/>
          <w:marTop w:val="0"/>
          <w:marBottom w:val="0"/>
          <w:divBdr>
            <w:top w:val="none" w:sz="0" w:space="0" w:color="auto"/>
            <w:left w:val="none" w:sz="0" w:space="0" w:color="auto"/>
            <w:bottom w:val="none" w:sz="0" w:space="0" w:color="auto"/>
            <w:right w:val="none" w:sz="0" w:space="0" w:color="auto"/>
          </w:divBdr>
          <w:divsChild>
            <w:div w:id="114835998">
              <w:marLeft w:val="0"/>
              <w:marRight w:val="0"/>
              <w:marTop w:val="0"/>
              <w:marBottom w:val="0"/>
              <w:divBdr>
                <w:top w:val="none" w:sz="0" w:space="0" w:color="auto"/>
                <w:left w:val="none" w:sz="0" w:space="0" w:color="auto"/>
                <w:bottom w:val="none" w:sz="0" w:space="0" w:color="auto"/>
                <w:right w:val="none" w:sz="0" w:space="0" w:color="auto"/>
              </w:divBdr>
            </w:div>
            <w:div w:id="218638217">
              <w:marLeft w:val="0"/>
              <w:marRight w:val="0"/>
              <w:marTop w:val="0"/>
              <w:marBottom w:val="0"/>
              <w:divBdr>
                <w:top w:val="none" w:sz="0" w:space="0" w:color="auto"/>
                <w:left w:val="none" w:sz="0" w:space="0" w:color="auto"/>
                <w:bottom w:val="none" w:sz="0" w:space="0" w:color="auto"/>
                <w:right w:val="none" w:sz="0" w:space="0" w:color="auto"/>
              </w:divBdr>
            </w:div>
            <w:div w:id="531498421">
              <w:marLeft w:val="0"/>
              <w:marRight w:val="0"/>
              <w:marTop w:val="0"/>
              <w:marBottom w:val="0"/>
              <w:divBdr>
                <w:top w:val="none" w:sz="0" w:space="0" w:color="auto"/>
                <w:left w:val="none" w:sz="0" w:space="0" w:color="auto"/>
                <w:bottom w:val="none" w:sz="0" w:space="0" w:color="auto"/>
                <w:right w:val="none" w:sz="0" w:space="0" w:color="auto"/>
              </w:divBdr>
            </w:div>
            <w:div w:id="566116475">
              <w:marLeft w:val="0"/>
              <w:marRight w:val="0"/>
              <w:marTop w:val="0"/>
              <w:marBottom w:val="0"/>
              <w:divBdr>
                <w:top w:val="none" w:sz="0" w:space="0" w:color="auto"/>
                <w:left w:val="none" w:sz="0" w:space="0" w:color="auto"/>
                <w:bottom w:val="none" w:sz="0" w:space="0" w:color="auto"/>
                <w:right w:val="none" w:sz="0" w:space="0" w:color="auto"/>
              </w:divBdr>
            </w:div>
            <w:div w:id="678192916">
              <w:marLeft w:val="0"/>
              <w:marRight w:val="0"/>
              <w:marTop w:val="0"/>
              <w:marBottom w:val="0"/>
              <w:divBdr>
                <w:top w:val="none" w:sz="0" w:space="0" w:color="auto"/>
                <w:left w:val="none" w:sz="0" w:space="0" w:color="auto"/>
                <w:bottom w:val="none" w:sz="0" w:space="0" w:color="auto"/>
                <w:right w:val="none" w:sz="0" w:space="0" w:color="auto"/>
              </w:divBdr>
            </w:div>
            <w:div w:id="943616914">
              <w:marLeft w:val="0"/>
              <w:marRight w:val="0"/>
              <w:marTop w:val="0"/>
              <w:marBottom w:val="0"/>
              <w:divBdr>
                <w:top w:val="none" w:sz="0" w:space="0" w:color="auto"/>
                <w:left w:val="none" w:sz="0" w:space="0" w:color="auto"/>
                <w:bottom w:val="none" w:sz="0" w:space="0" w:color="auto"/>
                <w:right w:val="none" w:sz="0" w:space="0" w:color="auto"/>
              </w:divBdr>
            </w:div>
            <w:div w:id="1180434665">
              <w:marLeft w:val="0"/>
              <w:marRight w:val="0"/>
              <w:marTop w:val="0"/>
              <w:marBottom w:val="0"/>
              <w:divBdr>
                <w:top w:val="none" w:sz="0" w:space="0" w:color="auto"/>
                <w:left w:val="none" w:sz="0" w:space="0" w:color="auto"/>
                <w:bottom w:val="none" w:sz="0" w:space="0" w:color="auto"/>
                <w:right w:val="none" w:sz="0" w:space="0" w:color="auto"/>
              </w:divBdr>
            </w:div>
            <w:div w:id="1226574926">
              <w:marLeft w:val="0"/>
              <w:marRight w:val="0"/>
              <w:marTop w:val="0"/>
              <w:marBottom w:val="0"/>
              <w:divBdr>
                <w:top w:val="none" w:sz="0" w:space="0" w:color="auto"/>
                <w:left w:val="none" w:sz="0" w:space="0" w:color="auto"/>
                <w:bottom w:val="none" w:sz="0" w:space="0" w:color="auto"/>
                <w:right w:val="none" w:sz="0" w:space="0" w:color="auto"/>
              </w:divBdr>
            </w:div>
            <w:div w:id="1338996974">
              <w:marLeft w:val="0"/>
              <w:marRight w:val="0"/>
              <w:marTop w:val="0"/>
              <w:marBottom w:val="0"/>
              <w:divBdr>
                <w:top w:val="none" w:sz="0" w:space="0" w:color="auto"/>
                <w:left w:val="none" w:sz="0" w:space="0" w:color="auto"/>
                <w:bottom w:val="none" w:sz="0" w:space="0" w:color="auto"/>
                <w:right w:val="none" w:sz="0" w:space="0" w:color="auto"/>
              </w:divBdr>
            </w:div>
            <w:div w:id="1621035329">
              <w:marLeft w:val="0"/>
              <w:marRight w:val="0"/>
              <w:marTop w:val="0"/>
              <w:marBottom w:val="0"/>
              <w:divBdr>
                <w:top w:val="none" w:sz="0" w:space="0" w:color="auto"/>
                <w:left w:val="none" w:sz="0" w:space="0" w:color="auto"/>
                <w:bottom w:val="none" w:sz="0" w:space="0" w:color="auto"/>
                <w:right w:val="none" w:sz="0" w:space="0" w:color="auto"/>
              </w:divBdr>
            </w:div>
            <w:div w:id="1769545534">
              <w:marLeft w:val="0"/>
              <w:marRight w:val="0"/>
              <w:marTop w:val="0"/>
              <w:marBottom w:val="0"/>
              <w:divBdr>
                <w:top w:val="none" w:sz="0" w:space="0" w:color="auto"/>
                <w:left w:val="none" w:sz="0" w:space="0" w:color="auto"/>
                <w:bottom w:val="none" w:sz="0" w:space="0" w:color="auto"/>
                <w:right w:val="none" w:sz="0" w:space="0" w:color="auto"/>
              </w:divBdr>
            </w:div>
            <w:div w:id="1940216808">
              <w:marLeft w:val="0"/>
              <w:marRight w:val="0"/>
              <w:marTop w:val="0"/>
              <w:marBottom w:val="0"/>
              <w:divBdr>
                <w:top w:val="none" w:sz="0" w:space="0" w:color="auto"/>
                <w:left w:val="none" w:sz="0" w:space="0" w:color="auto"/>
                <w:bottom w:val="none" w:sz="0" w:space="0" w:color="auto"/>
                <w:right w:val="none" w:sz="0" w:space="0" w:color="auto"/>
              </w:divBdr>
            </w:div>
          </w:divsChild>
        </w:div>
        <w:div w:id="1079056107">
          <w:marLeft w:val="0"/>
          <w:marRight w:val="0"/>
          <w:marTop w:val="0"/>
          <w:marBottom w:val="0"/>
          <w:divBdr>
            <w:top w:val="none" w:sz="0" w:space="0" w:color="auto"/>
            <w:left w:val="none" w:sz="0" w:space="0" w:color="auto"/>
            <w:bottom w:val="none" w:sz="0" w:space="0" w:color="auto"/>
            <w:right w:val="none" w:sz="0" w:space="0" w:color="auto"/>
          </w:divBdr>
          <w:divsChild>
            <w:div w:id="336033900">
              <w:marLeft w:val="0"/>
              <w:marRight w:val="0"/>
              <w:marTop w:val="0"/>
              <w:marBottom w:val="0"/>
              <w:divBdr>
                <w:top w:val="none" w:sz="0" w:space="0" w:color="auto"/>
                <w:left w:val="none" w:sz="0" w:space="0" w:color="auto"/>
                <w:bottom w:val="none" w:sz="0" w:space="0" w:color="auto"/>
                <w:right w:val="none" w:sz="0" w:space="0" w:color="auto"/>
              </w:divBdr>
            </w:div>
            <w:div w:id="366413959">
              <w:marLeft w:val="0"/>
              <w:marRight w:val="0"/>
              <w:marTop w:val="0"/>
              <w:marBottom w:val="0"/>
              <w:divBdr>
                <w:top w:val="none" w:sz="0" w:space="0" w:color="auto"/>
                <w:left w:val="none" w:sz="0" w:space="0" w:color="auto"/>
                <w:bottom w:val="none" w:sz="0" w:space="0" w:color="auto"/>
                <w:right w:val="none" w:sz="0" w:space="0" w:color="auto"/>
              </w:divBdr>
            </w:div>
            <w:div w:id="382021584">
              <w:marLeft w:val="0"/>
              <w:marRight w:val="0"/>
              <w:marTop w:val="0"/>
              <w:marBottom w:val="0"/>
              <w:divBdr>
                <w:top w:val="none" w:sz="0" w:space="0" w:color="auto"/>
                <w:left w:val="none" w:sz="0" w:space="0" w:color="auto"/>
                <w:bottom w:val="none" w:sz="0" w:space="0" w:color="auto"/>
                <w:right w:val="none" w:sz="0" w:space="0" w:color="auto"/>
              </w:divBdr>
            </w:div>
            <w:div w:id="592669641">
              <w:marLeft w:val="0"/>
              <w:marRight w:val="0"/>
              <w:marTop w:val="0"/>
              <w:marBottom w:val="0"/>
              <w:divBdr>
                <w:top w:val="none" w:sz="0" w:space="0" w:color="auto"/>
                <w:left w:val="none" w:sz="0" w:space="0" w:color="auto"/>
                <w:bottom w:val="none" w:sz="0" w:space="0" w:color="auto"/>
                <w:right w:val="none" w:sz="0" w:space="0" w:color="auto"/>
              </w:divBdr>
            </w:div>
            <w:div w:id="858742923">
              <w:marLeft w:val="0"/>
              <w:marRight w:val="0"/>
              <w:marTop w:val="0"/>
              <w:marBottom w:val="0"/>
              <w:divBdr>
                <w:top w:val="none" w:sz="0" w:space="0" w:color="auto"/>
                <w:left w:val="none" w:sz="0" w:space="0" w:color="auto"/>
                <w:bottom w:val="none" w:sz="0" w:space="0" w:color="auto"/>
                <w:right w:val="none" w:sz="0" w:space="0" w:color="auto"/>
              </w:divBdr>
            </w:div>
            <w:div w:id="941648986">
              <w:marLeft w:val="0"/>
              <w:marRight w:val="0"/>
              <w:marTop w:val="0"/>
              <w:marBottom w:val="0"/>
              <w:divBdr>
                <w:top w:val="none" w:sz="0" w:space="0" w:color="auto"/>
                <w:left w:val="none" w:sz="0" w:space="0" w:color="auto"/>
                <w:bottom w:val="none" w:sz="0" w:space="0" w:color="auto"/>
                <w:right w:val="none" w:sz="0" w:space="0" w:color="auto"/>
              </w:divBdr>
            </w:div>
            <w:div w:id="1491866302">
              <w:marLeft w:val="0"/>
              <w:marRight w:val="0"/>
              <w:marTop w:val="0"/>
              <w:marBottom w:val="0"/>
              <w:divBdr>
                <w:top w:val="none" w:sz="0" w:space="0" w:color="auto"/>
                <w:left w:val="none" w:sz="0" w:space="0" w:color="auto"/>
                <w:bottom w:val="none" w:sz="0" w:space="0" w:color="auto"/>
                <w:right w:val="none" w:sz="0" w:space="0" w:color="auto"/>
              </w:divBdr>
            </w:div>
            <w:div w:id="1553078287">
              <w:marLeft w:val="0"/>
              <w:marRight w:val="0"/>
              <w:marTop w:val="0"/>
              <w:marBottom w:val="0"/>
              <w:divBdr>
                <w:top w:val="none" w:sz="0" w:space="0" w:color="auto"/>
                <w:left w:val="none" w:sz="0" w:space="0" w:color="auto"/>
                <w:bottom w:val="none" w:sz="0" w:space="0" w:color="auto"/>
                <w:right w:val="none" w:sz="0" w:space="0" w:color="auto"/>
              </w:divBdr>
            </w:div>
            <w:div w:id="1632979953">
              <w:marLeft w:val="0"/>
              <w:marRight w:val="0"/>
              <w:marTop w:val="0"/>
              <w:marBottom w:val="0"/>
              <w:divBdr>
                <w:top w:val="none" w:sz="0" w:space="0" w:color="auto"/>
                <w:left w:val="none" w:sz="0" w:space="0" w:color="auto"/>
                <w:bottom w:val="none" w:sz="0" w:space="0" w:color="auto"/>
                <w:right w:val="none" w:sz="0" w:space="0" w:color="auto"/>
              </w:divBdr>
            </w:div>
            <w:div w:id="1648702282">
              <w:marLeft w:val="0"/>
              <w:marRight w:val="0"/>
              <w:marTop w:val="0"/>
              <w:marBottom w:val="0"/>
              <w:divBdr>
                <w:top w:val="none" w:sz="0" w:space="0" w:color="auto"/>
                <w:left w:val="none" w:sz="0" w:space="0" w:color="auto"/>
                <w:bottom w:val="none" w:sz="0" w:space="0" w:color="auto"/>
                <w:right w:val="none" w:sz="0" w:space="0" w:color="auto"/>
              </w:divBdr>
            </w:div>
            <w:div w:id="1893731351">
              <w:marLeft w:val="0"/>
              <w:marRight w:val="0"/>
              <w:marTop w:val="0"/>
              <w:marBottom w:val="0"/>
              <w:divBdr>
                <w:top w:val="none" w:sz="0" w:space="0" w:color="auto"/>
                <w:left w:val="none" w:sz="0" w:space="0" w:color="auto"/>
                <w:bottom w:val="none" w:sz="0" w:space="0" w:color="auto"/>
                <w:right w:val="none" w:sz="0" w:space="0" w:color="auto"/>
              </w:divBdr>
            </w:div>
            <w:div w:id="2080444919">
              <w:marLeft w:val="0"/>
              <w:marRight w:val="0"/>
              <w:marTop w:val="0"/>
              <w:marBottom w:val="0"/>
              <w:divBdr>
                <w:top w:val="none" w:sz="0" w:space="0" w:color="auto"/>
                <w:left w:val="none" w:sz="0" w:space="0" w:color="auto"/>
                <w:bottom w:val="none" w:sz="0" w:space="0" w:color="auto"/>
                <w:right w:val="none" w:sz="0" w:space="0" w:color="auto"/>
              </w:divBdr>
            </w:div>
            <w:div w:id="21326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1">
      <w:bodyDiv w:val="1"/>
      <w:marLeft w:val="0"/>
      <w:marRight w:val="0"/>
      <w:marTop w:val="0"/>
      <w:marBottom w:val="0"/>
      <w:divBdr>
        <w:top w:val="none" w:sz="0" w:space="0" w:color="auto"/>
        <w:left w:val="none" w:sz="0" w:space="0" w:color="auto"/>
        <w:bottom w:val="none" w:sz="0" w:space="0" w:color="auto"/>
        <w:right w:val="none" w:sz="0" w:space="0" w:color="auto"/>
      </w:divBdr>
      <w:divsChild>
        <w:div w:id="218440449">
          <w:marLeft w:val="0"/>
          <w:marRight w:val="0"/>
          <w:marTop w:val="0"/>
          <w:marBottom w:val="0"/>
          <w:divBdr>
            <w:top w:val="none" w:sz="0" w:space="0" w:color="auto"/>
            <w:left w:val="none" w:sz="0" w:space="0" w:color="auto"/>
            <w:bottom w:val="none" w:sz="0" w:space="0" w:color="auto"/>
            <w:right w:val="none" w:sz="0" w:space="0" w:color="auto"/>
          </w:divBdr>
          <w:divsChild>
            <w:div w:id="1500734344">
              <w:marLeft w:val="0"/>
              <w:marRight w:val="0"/>
              <w:marTop w:val="0"/>
              <w:marBottom w:val="0"/>
              <w:divBdr>
                <w:top w:val="none" w:sz="0" w:space="0" w:color="auto"/>
                <w:left w:val="none" w:sz="0" w:space="0" w:color="auto"/>
                <w:bottom w:val="none" w:sz="0" w:space="0" w:color="auto"/>
                <w:right w:val="none" w:sz="0" w:space="0" w:color="auto"/>
              </w:divBdr>
              <w:divsChild>
                <w:div w:id="1857966235">
                  <w:marLeft w:val="0"/>
                  <w:marRight w:val="0"/>
                  <w:marTop w:val="0"/>
                  <w:marBottom w:val="0"/>
                  <w:divBdr>
                    <w:top w:val="none" w:sz="0" w:space="0" w:color="auto"/>
                    <w:left w:val="none" w:sz="0" w:space="0" w:color="auto"/>
                    <w:bottom w:val="none" w:sz="0" w:space="0" w:color="auto"/>
                    <w:right w:val="none" w:sz="0" w:space="0" w:color="auto"/>
                  </w:divBdr>
                  <w:divsChild>
                    <w:div w:id="19673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64ualtDMoh6NSqwsuvqUv5WRhmA==">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ED90D58C060594D9C0EDB3540FF3F32" ma:contentTypeVersion="4" ma:contentTypeDescription="Create a new document." ma:contentTypeScope="" ma:versionID="45b35a1b9430eadc3da3a2e584f50f03">
  <xsd:schema xmlns:xsd="http://www.w3.org/2001/XMLSchema" xmlns:xs="http://www.w3.org/2001/XMLSchema" xmlns:p="http://schemas.microsoft.com/office/2006/metadata/properties" xmlns:ns2="ae050688-ea2f-44a6-bacc-d165f5d8e0b5" targetNamespace="http://schemas.microsoft.com/office/2006/metadata/properties" ma:root="true" ma:fieldsID="1901763ec1d8c021c37e4b2de0a8cf9d" ns2:_="">
    <xsd:import namespace="ae050688-ea2f-44a6-bacc-d165f5d8e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0688-ea2f-44a6-bacc-d165f5d8e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0819398-0F2D-46EE-8A96-BC9565C0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0688-ea2f-44a6-bacc-d165f5d8e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01815-3BFC-43DA-A2DE-1C7DA6EF1D86}">
  <ds:schemaRefs>
    <ds:schemaRef ds:uri="http://schemas.openxmlformats.org/officeDocument/2006/bibliography"/>
  </ds:schemaRefs>
</ds:datastoreItem>
</file>

<file path=customXml/itemProps4.xml><?xml version="1.0" encoding="utf-8"?>
<ds:datastoreItem xmlns:ds="http://schemas.openxmlformats.org/officeDocument/2006/customXml" ds:itemID="{6A4EE16B-492B-4CD7-89E4-4904D8AA75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770582-1523-414E-AE38-07F0540B57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4324</Words>
  <Characters>24652</Characters>
  <Application>Microsoft Office Word</Application>
  <DocSecurity>0</DocSecurity>
  <PresentationFormat/>
  <Lines>205</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28919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Kontautas | Sorainen</dc:creator>
  <cp:keywords/>
  <dc:description/>
  <cp:lastModifiedBy>Oksana Kostogriz</cp:lastModifiedBy>
  <cp:revision>2</cp:revision>
  <cp:lastPrinted>2020-10-05T12:00:00Z</cp:lastPrinted>
  <dcterms:created xsi:type="dcterms:W3CDTF">2020-10-06T05:54:00Z</dcterms:created>
  <dcterms:modified xsi:type="dcterms:W3CDTF">2020-10-06T05:54:00Z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0x010100BED90D58C060594D9C0EDB3540FF3F32</vt:lpwstr>
  </property>
</Properties>
</file>